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76" w:rsidRPr="00315F8E" w:rsidRDefault="00912D76" w:rsidP="00912D76">
      <w:pPr>
        <w:shd w:val="clear" w:color="auto" w:fill="FFFFFF"/>
        <w:spacing w:after="0" w:line="240" w:lineRule="auto"/>
        <w:rPr>
          <w:rFonts w:eastAsia="Times New Roman" w:cs="Arial"/>
          <w:b/>
          <w:color w:val="222222"/>
        </w:rPr>
      </w:pPr>
      <w:bookmarkStart w:id="0" w:name="_GoBack"/>
      <w:bookmarkEnd w:id="0"/>
      <w:r w:rsidRPr="00912D76">
        <w:rPr>
          <w:rFonts w:eastAsia="Times New Roman" w:cs="Arial"/>
          <w:b/>
          <w:color w:val="222222"/>
        </w:rPr>
        <w:t>Activities</w:t>
      </w:r>
      <w:r w:rsidRPr="00315F8E">
        <w:rPr>
          <w:rFonts w:eastAsia="Times New Roman" w:cs="Arial"/>
          <w:b/>
          <w:color w:val="222222"/>
        </w:rPr>
        <w:t xml:space="preserve"> of EITI under World Bank fund in 2022-2023</w:t>
      </w:r>
    </w:p>
    <w:p w:rsidR="00315F8E" w:rsidRPr="00BF1A0C" w:rsidRDefault="00315F8E" w:rsidP="00912D76">
      <w:pPr>
        <w:shd w:val="clear" w:color="auto" w:fill="FFFFFF"/>
        <w:spacing w:after="0" w:line="240" w:lineRule="auto"/>
        <w:rPr>
          <w:rFonts w:eastAsia="Times New Roman" w:cs="Arial"/>
          <w:color w:val="222222"/>
        </w:rPr>
      </w:pPr>
    </w:p>
    <w:tbl>
      <w:tblPr>
        <w:tblStyle w:val="TableGrid"/>
        <w:tblW w:w="14400" w:type="dxa"/>
        <w:tblInd w:w="-635" w:type="dxa"/>
        <w:tblLook w:val="04A0" w:firstRow="1" w:lastRow="0" w:firstColumn="1" w:lastColumn="0" w:noHBand="0" w:noVBand="1"/>
      </w:tblPr>
      <w:tblGrid>
        <w:gridCol w:w="7110"/>
        <w:gridCol w:w="7290"/>
      </w:tblGrid>
      <w:tr w:rsidR="00912D76" w:rsidRPr="00BF1A0C" w:rsidTr="00BF1A0C">
        <w:tc>
          <w:tcPr>
            <w:tcW w:w="7110" w:type="dxa"/>
          </w:tcPr>
          <w:p w:rsidR="00912D76" w:rsidRPr="00BF1A0C" w:rsidRDefault="00912D76" w:rsidP="00912D76">
            <w:pPr>
              <w:shd w:val="clear" w:color="auto" w:fill="FFFFFF"/>
              <w:rPr>
                <w:rFonts w:eastAsia="Times New Roman" w:cs="Arial"/>
                <w:color w:val="222222"/>
              </w:rPr>
            </w:pPr>
            <w:r w:rsidRPr="00912D76">
              <w:rPr>
                <w:rFonts w:eastAsia="Times New Roman" w:cs="Arial"/>
              </w:rPr>
              <w:t>This grant will support the MEITI to strengthen stakeholder engagement and promote policy dialogue through public outreach events, workshops, webinars, and other forms of activities that can actively engage stakeholders in using information that are disclosed through the EITI process. In addition to strengthening this engagement mechanism, the grant is also expected to equip MEITI with knowledge, skills, and capacity to gradually implement EITI mainstreaming in Mongolia.</w:t>
            </w:r>
          </w:p>
        </w:tc>
        <w:tc>
          <w:tcPr>
            <w:tcW w:w="7290" w:type="dxa"/>
          </w:tcPr>
          <w:p w:rsidR="00912D76" w:rsidRPr="00C01ABC" w:rsidRDefault="00C01ABC" w:rsidP="00C01ABC">
            <w:pPr>
              <w:rPr>
                <w:rFonts w:eastAsia="Times New Roman" w:cs="Arial"/>
                <w:color w:val="222222"/>
                <w:lang w:val="mn-MN"/>
              </w:rPr>
            </w:pPr>
            <w:r>
              <w:rPr>
                <w:rFonts w:eastAsia="Times New Roman" w:cs="Arial"/>
                <w:color w:val="222222"/>
                <w:lang w:val="mn-MN"/>
              </w:rPr>
              <w:t>Энэ Буцалтгүй тусламжийн хөрөнгөөр ОҮИТБС-ын хүрээнд бий ил тод болсон мэдээллийг ашиглан олон нийтэд танилцуулах арга хэмжээ, семинар, вебинар зэрэг олон нийтэд зориулсан арга хэмжээ зохион байгуулах аргаар оролцогч талуудын оролцоог нэмэгдүүлж, бодлогын хэлэлцүүлгийг идэвхжүүлнэ.Түүнчлэн энэхүү оролцоог нэмэгдүүлэх тогтолцоог сайжруулахаас гадна Монгол Улсад ОҮИТБС-ыг мэдээллийн системтэй эх сурвалж аажмаар болгохын тулд Монголын ОҮИТБС-ын мэдлэг, ур чадвар, чадавхийг нэмэгдүүлнэ.</w:t>
            </w:r>
          </w:p>
        </w:tc>
      </w:tr>
      <w:tr w:rsidR="00912D76" w:rsidRPr="00BF1A0C" w:rsidTr="00BF1A0C">
        <w:tc>
          <w:tcPr>
            <w:tcW w:w="7110" w:type="dxa"/>
          </w:tcPr>
          <w:p w:rsidR="00912D76" w:rsidRPr="00BF1A0C" w:rsidRDefault="00912D76" w:rsidP="00912D76">
            <w:pPr>
              <w:shd w:val="clear" w:color="auto" w:fill="FFFFFF"/>
              <w:rPr>
                <w:rFonts w:eastAsia="Times New Roman" w:cs="Arial"/>
                <w:color w:val="222222"/>
              </w:rPr>
            </w:pPr>
            <w:r w:rsidRPr="00912D76">
              <w:rPr>
                <w:rFonts w:eastAsia="Times New Roman" w:cs="Arial"/>
              </w:rPr>
              <w:t>The grant comprises the following two compo</w:t>
            </w:r>
            <w:r w:rsidRPr="00BF1A0C">
              <w:rPr>
                <w:rFonts w:eastAsia="Times New Roman" w:cs="Arial"/>
              </w:rPr>
              <w:t>nents and associated activities:</w:t>
            </w:r>
          </w:p>
        </w:tc>
        <w:tc>
          <w:tcPr>
            <w:tcW w:w="7290" w:type="dxa"/>
          </w:tcPr>
          <w:p w:rsidR="00912D76" w:rsidRPr="00C01ABC" w:rsidRDefault="00C01ABC" w:rsidP="003A6C0C">
            <w:pPr>
              <w:rPr>
                <w:rFonts w:eastAsia="Times New Roman" w:cs="Arial"/>
                <w:color w:val="222222"/>
                <w:lang w:val="mn-MN"/>
              </w:rPr>
            </w:pPr>
            <w:r>
              <w:rPr>
                <w:rFonts w:eastAsia="Times New Roman" w:cs="Arial"/>
                <w:color w:val="222222"/>
                <w:lang w:val="mn-MN"/>
              </w:rPr>
              <w:t>Тусламж</w:t>
            </w:r>
            <w:r w:rsidR="003A6C0C">
              <w:rPr>
                <w:rFonts w:eastAsia="Times New Roman" w:cs="Arial"/>
                <w:color w:val="222222"/>
                <w:lang w:val="mn-MN"/>
              </w:rPr>
              <w:t>ийн төсөл нь дараах 2 хэсэг, холбогдсон үйл ажиллагаануудаас бүрдэнэ.</w:t>
            </w:r>
            <w:r>
              <w:rPr>
                <w:rFonts w:eastAsia="Times New Roman" w:cs="Arial"/>
                <w:color w:val="222222"/>
                <w:lang w:val="mn-MN"/>
              </w:rPr>
              <w:t xml:space="preserve"> </w:t>
            </w:r>
          </w:p>
        </w:tc>
      </w:tr>
      <w:tr w:rsidR="00912D76" w:rsidRPr="00BF1A0C" w:rsidTr="00BF1A0C">
        <w:tc>
          <w:tcPr>
            <w:tcW w:w="7110" w:type="dxa"/>
          </w:tcPr>
          <w:p w:rsidR="00912D76" w:rsidRPr="00BF1A0C" w:rsidRDefault="00912D76" w:rsidP="00B52C5A">
            <w:pPr>
              <w:shd w:val="clear" w:color="auto" w:fill="FFFFFF"/>
              <w:rPr>
                <w:rFonts w:eastAsia="Times New Roman" w:cs="Arial"/>
              </w:rPr>
            </w:pPr>
            <w:bookmarkStart w:id="1" w:name="m_6150215558737092927__Hlk87361366"/>
            <w:r w:rsidRPr="00912D76">
              <w:rPr>
                <w:rFonts w:eastAsia="Times New Roman" w:cs="Arial"/>
                <w:b/>
                <w:bCs/>
                <w:color w:val="222222"/>
              </w:rPr>
              <w:t>Component 1. Strengthening participation and collaboration among EITI stakeholders ($250,000).</w:t>
            </w:r>
            <w:bookmarkEnd w:id="1"/>
            <w:r w:rsidRPr="00912D76">
              <w:rPr>
                <w:rFonts w:eastAsia="Times New Roman" w:cs="Arial"/>
              </w:rPr>
              <w:t> This component will focus on stakeholder engagement and outreach to promoting the EITI process to improve extractive sector governance.</w:t>
            </w:r>
          </w:p>
        </w:tc>
        <w:tc>
          <w:tcPr>
            <w:tcW w:w="7290" w:type="dxa"/>
          </w:tcPr>
          <w:p w:rsidR="00912D76" w:rsidRPr="003A6C0C" w:rsidRDefault="003A6C0C" w:rsidP="003A6C0C">
            <w:pPr>
              <w:rPr>
                <w:rFonts w:eastAsia="Times New Roman" w:cs="Arial"/>
                <w:color w:val="222222"/>
                <w:lang w:val="mn-MN"/>
              </w:rPr>
            </w:pPr>
            <w:r w:rsidRPr="00315F8E">
              <w:rPr>
                <w:rFonts w:eastAsia="Times New Roman" w:cs="Arial"/>
                <w:b/>
                <w:color w:val="222222"/>
                <w:lang w:val="mn-MN"/>
              </w:rPr>
              <w:t>1-р хэсэг. ОҮИТБС-ын оролцогч талуудын оролцоо, хамтын ажиллагааг бэхжүүлэх</w:t>
            </w:r>
            <w:r w:rsidRPr="00315F8E">
              <w:rPr>
                <w:rFonts w:eastAsia="Times New Roman" w:cs="Arial"/>
                <w:b/>
                <w:color w:val="222222"/>
              </w:rPr>
              <w:t xml:space="preserve">(250.000 </w:t>
            </w:r>
            <w:r w:rsidRPr="00315F8E">
              <w:rPr>
                <w:rFonts w:eastAsia="Times New Roman" w:cs="Arial"/>
                <w:b/>
                <w:color w:val="222222"/>
                <w:lang w:val="mn-MN"/>
              </w:rPr>
              <w:t>ам.долл</w:t>
            </w:r>
            <w:r w:rsidRPr="00315F8E">
              <w:rPr>
                <w:rFonts w:eastAsia="Times New Roman" w:cs="Arial"/>
                <w:b/>
                <w:color w:val="222222"/>
              </w:rPr>
              <w:t>)</w:t>
            </w:r>
            <w:r w:rsidRPr="00315F8E">
              <w:rPr>
                <w:rFonts w:eastAsia="Times New Roman" w:cs="Arial"/>
                <w:b/>
                <w:color w:val="222222"/>
                <w:lang w:val="mn-MN"/>
              </w:rPr>
              <w:t>.</w:t>
            </w:r>
            <w:r>
              <w:rPr>
                <w:rFonts w:eastAsia="Times New Roman" w:cs="Arial"/>
                <w:color w:val="222222"/>
                <w:lang w:val="mn-MN"/>
              </w:rPr>
              <w:t xml:space="preserve"> Энэ хэсэг нь ОҮИТБС-ын үйл ажиллагаанд оролцогч талууд оролцон идэвхжүүлснээр Олборлох салбарын засаглалыг сайжруулахад дэмжлэг үзүүлнэ.</w:t>
            </w:r>
            <w:r>
              <w:rPr>
                <w:rFonts w:eastAsia="Times New Roman" w:cs="Arial"/>
                <w:color w:val="222222"/>
              </w:rPr>
              <w:t xml:space="preserve"> </w:t>
            </w:r>
            <w:r>
              <w:rPr>
                <w:rFonts w:eastAsia="Times New Roman" w:cs="Arial"/>
                <w:color w:val="222222"/>
                <w:lang w:val="mn-MN"/>
              </w:rPr>
              <w:t xml:space="preserve"> </w:t>
            </w:r>
          </w:p>
        </w:tc>
      </w:tr>
      <w:tr w:rsidR="00912D76" w:rsidRPr="00BF1A0C" w:rsidTr="00BF1A0C">
        <w:tc>
          <w:tcPr>
            <w:tcW w:w="7110" w:type="dxa"/>
          </w:tcPr>
          <w:p w:rsidR="00912D76" w:rsidRPr="00BF1A0C" w:rsidRDefault="00912D76" w:rsidP="00B52C5A">
            <w:pPr>
              <w:shd w:val="clear" w:color="auto" w:fill="FFFFFF"/>
              <w:rPr>
                <w:rFonts w:eastAsia="Times New Roman" w:cs="Arial"/>
                <w:color w:val="222222"/>
              </w:rPr>
            </w:pPr>
            <w:r w:rsidRPr="00912D76">
              <w:rPr>
                <w:rFonts w:eastAsia="Times New Roman" w:cs="Arial"/>
                <w:b/>
                <w:bCs/>
              </w:rPr>
              <w:t>Activity 1.1. Subnational outreach.</w:t>
            </w:r>
          </w:p>
        </w:tc>
        <w:tc>
          <w:tcPr>
            <w:tcW w:w="7290" w:type="dxa"/>
          </w:tcPr>
          <w:p w:rsidR="00912D76" w:rsidRPr="00315F8E" w:rsidRDefault="003A6C0C" w:rsidP="00B52C5A">
            <w:pPr>
              <w:rPr>
                <w:rFonts w:eastAsia="Times New Roman" w:cs="Arial"/>
                <w:b/>
                <w:color w:val="222222"/>
                <w:lang w:val="mn-MN"/>
              </w:rPr>
            </w:pPr>
            <w:r w:rsidRPr="00315F8E">
              <w:rPr>
                <w:rFonts w:eastAsia="Times New Roman" w:cs="Arial"/>
                <w:b/>
                <w:color w:val="222222"/>
                <w:lang w:val="mn-MN"/>
              </w:rPr>
              <w:t>Үйл ажиллагаа 1.1 Дэд зөвлөлд хүрч ажиллах</w:t>
            </w:r>
          </w:p>
        </w:tc>
      </w:tr>
      <w:tr w:rsidR="00912D76" w:rsidRPr="00BF1A0C" w:rsidTr="00BF1A0C">
        <w:tc>
          <w:tcPr>
            <w:tcW w:w="7110" w:type="dxa"/>
          </w:tcPr>
          <w:p w:rsidR="00912D76" w:rsidRPr="00BF1A0C" w:rsidRDefault="00912D76" w:rsidP="003A6C0C">
            <w:pPr>
              <w:shd w:val="clear" w:color="auto" w:fill="FFFFFF"/>
              <w:rPr>
                <w:rFonts w:eastAsia="Times New Roman" w:cs="Arial"/>
              </w:rPr>
            </w:pPr>
            <w:r w:rsidRPr="00912D76">
              <w:rPr>
                <w:rFonts w:eastAsia="Times New Roman" w:cs="Arial"/>
              </w:rPr>
              <w:t>Several Sub-national EITI Councils were created in between 20</w:t>
            </w:r>
            <w:r w:rsidR="003A6C0C">
              <w:rPr>
                <w:rFonts w:eastAsia="Times New Roman" w:cs="Arial"/>
                <w:lang w:val="mn-MN"/>
              </w:rPr>
              <w:t>12</w:t>
            </w:r>
            <w:r w:rsidRPr="00912D76">
              <w:rPr>
                <w:rFonts w:eastAsia="Times New Roman" w:cs="Arial"/>
              </w:rPr>
              <w:t>-2018 but have received little support to build capacity to perform their functions effectively. In 2021 MEITI has benefitted from financial support from the IFC to conduct regional conferences and provide training of trainers with a view to beginning to build capacity of Sub-national EITI Councils. Under the proposed Law on Transparency in the Mineral Resources Sector the Government would be obliged to finance the operating costs of Sub-national EITI Councils, however, capacity building will still be needed.</w:t>
            </w:r>
          </w:p>
        </w:tc>
        <w:tc>
          <w:tcPr>
            <w:tcW w:w="7290" w:type="dxa"/>
          </w:tcPr>
          <w:p w:rsidR="00912D76" w:rsidRPr="003A6C0C" w:rsidRDefault="003A6C0C" w:rsidP="003A6C0C">
            <w:pPr>
              <w:rPr>
                <w:rFonts w:eastAsia="Times New Roman" w:cs="Arial"/>
                <w:color w:val="222222"/>
                <w:lang w:val="mn-MN"/>
              </w:rPr>
            </w:pPr>
            <w:r>
              <w:rPr>
                <w:rFonts w:eastAsia="Times New Roman" w:cs="Arial"/>
                <w:color w:val="222222"/>
                <w:lang w:val="mn-MN"/>
              </w:rPr>
              <w:t>2012-2018 онуудад орон нутагт ОҮИТБС-ын дэд зөвлөлүүдийг байгуулсан хэдий ч чиг үүргээ хэрэгжүүлэх чадавхийг нь нэмэгдүүлэх олигтой дэмжлэг гаргаагүй. Монголын ОҮИТБС нь ОУСК зэрэг хандивлагч байгууллагуудын санхүүгийн дэмжлэгээр бүс нутгийн чуулган зохион байгуулж, Дэд зөвлөлийн чадавхийг нэмэгдүүлэхийн тулд сургагч багш бэлтгэх ажлыг эхлүүлсэн байна.  Эрдэс баялгийн салбарын ил тод байдлын</w:t>
            </w:r>
            <w:r w:rsidR="004C0617">
              <w:rPr>
                <w:rFonts w:eastAsia="Times New Roman" w:cs="Arial"/>
                <w:color w:val="222222"/>
                <w:lang w:val="mn-MN"/>
              </w:rPr>
              <w:t xml:space="preserve"> тухай төсөлд Дэд зөвлөлүүдийн үйл ажиллагааны зардлыг Улсын төсвөөс гаргахаар тусгасан хэдий ч чадавхийг нэмэгдүүлэх ажил шаардлагтай байна.</w:t>
            </w:r>
            <w:r>
              <w:rPr>
                <w:rFonts w:eastAsia="Times New Roman" w:cs="Arial"/>
                <w:color w:val="222222"/>
                <w:lang w:val="mn-MN"/>
              </w:rPr>
              <w:t xml:space="preserve">  </w:t>
            </w:r>
          </w:p>
        </w:tc>
      </w:tr>
      <w:tr w:rsidR="00B52C5A" w:rsidRPr="00BF1A0C" w:rsidTr="00BF1A0C">
        <w:tc>
          <w:tcPr>
            <w:tcW w:w="7110" w:type="dxa"/>
          </w:tcPr>
          <w:p w:rsidR="00B52C5A" w:rsidRPr="00BF1A0C" w:rsidRDefault="00B52C5A" w:rsidP="00B52C5A">
            <w:pPr>
              <w:shd w:val="clear" w:color="auto" w:fill="FFFFFF"/>
              <w:rPr>
                <w:rFonts w:eastAsia="Times New Roman" w:cs="Arial"/>
              </w:rPr>
            </w:pPr>
            <w:r w:rsidRPr="00912D76">
              <w:rPr>
                <w:rFonts w:eastAsia="Times New Roman" w:cs="Arial"/>
              </w:rPr>
              <w:t>Activities to be supported include:</w:t>
            </w:r>
          </w:p>
        </w:tc>
        <w:tc>
          <w:tcPr>
            <w:tcW w:w="7290" w:type="dxa"/>
          </w:tcPr>
          <w:p w:rsidR="00B52C5A" w:rsidRPr="004C0617" w:rsidRDefault="00D77B1E" w:rsidP="00D77B1E">
            <w:pPr>
              <w:rPr>
                <w:rFonts w:eastAsia="Times New Roman" w:cs="Arial"/>
                <w:color w:val="222222"/>
                <w:lang w:val="mn-MN"/>
              </w:rPr>
            </w:pPr>
            <w:r>
              <w:rPr>
                <w:rFonts w:eastAsia="Times New Roman" w:cs="Arial"/>
                <w:color w:val="222222"/>
                <w:lang w:val="mn-MN"/>
              </w:rPr>
              <w:t>Хэрэгжүүлэх ажил</w:t>
            </w:r>
            <w:r w:rsidR="004C0617">
              <w:rPr>
                <w:rFonts w:eastAsia="Times New Roman" w:cs="Arial"/>
                <w:color w:val="222222"/>
                <w:lang w:val="mn-MN"/>
              </w:rPr>
              <w:t xml:space="preserve"> </w:t>
            </w:r>
          </w:p>
        </w:tc>
      </w:tr>
      <w:tr w:rsidR="00B52C5A" w:rsidRPr="00BF1A0C" w:rsidTr="00BF1A0C">
        <w:tc>
          <w:tcPr>
            <w:tcW w:w="7110" w:type="dxa"/>
          </w:tcPr>
          <w:p w:rsidR="00B52C5A" w:rsidRPr="00BF1A0C" w:rsidRDefault="00B52C5A" w:rsidP="00B52C5A">
            <w:pPr>
              <w:shd w:val="clear" w:color="auto" w:fill="FFFFFF"/>
              <w:rPr>
                <w:rFonts w:eastAsia="Times New Roman" w:cs="Arial"/>
              </w:rPr>
            </w:pPr>
            <w:r w:rsidRPr="00912D76">
              <w:rPr>
                <w:rFonts w:eastAsia="Times New Roman" w:cs="Arial"/>
              </w:rPr>
              <w:t>Training for sub-national council members on</w:t>
            </w:r>
            <w:r w:rsidRPr="00BF1A0C">
              <w:rPr>
                <w:rFonts w:eastAsia="Times New Roman" w:cs="Arial"/>
              </w:rPr>
              <w:t xml:space="preserve"> EITI and stakeholder engagement</w:t>
            </w:r>
          </w:p>
        </w:tc>
        <w:tc>
          <w:tcPr>
            <w:tcW w:w="7290" w:type="dxa"/>
          </w:tcPr>
          <w:p w:rsidR="00B52C5A" w:rsidRPr="00CE603C" w:rsidRDefault="00CE603C" w:rsidP="00CE603C">
            <w:pPr>
              <w:rPr>
                <w:rFonts w:eastAsia="Times New Roman" w:cs="Arial"/>
                <w:color w:val="222222"/>
                <w:lang w:val="mn-MN"/>
              </w:rPr>
            </w:pPr>
            <w:r>
              <w:rPr>
                <w:rFonts w:eastAsia="Times New Roman" w:cs="Arial"/>
                <w:color w:val="222222"/>
                <w:lang w:val="mn-MN"/>
              </w:rPr>
              <w:t>Дэд зөвлөлийн гишүүдийн ОҮИТБС, оролцооны сургалт</w:t>
            </w:r>
          </w:p>
        </w:tc>
      </w:tr>
      <w:tr w:rsidR="00912D76" w:rsidRPr="00BF1A0C" w:rsidTr="00BF1A0C">
        <w:tc>
          <w:tcPr>
            <w:tcW w:w="7110" w:type="dxa"/>
          </w:tcPr>
          <w:p w:rsidR="00912D76" w:rsidRPr="00BF1A0C" w:rsidRDefault="00912D76" w:rsidP="00B52C5A">
            <w:pPr>
              <w:shd w:val="clear" w:color="auto" w:fill="FFFFFF"/>
              <w:rPr>
                <w:rFonts w:eastAsia="Times New Roman" w:cs="Arial"/>
              </w:rPr>
            </w:pPr>
            <w:r w:rsidRPr="00912D76">
              <w:rPr>
                <w:rFonts w:eastAsia="Times New Roman" w:cs="Arial"/>
              </w:rPr>
              <w:t>Knowledge sharing seminars between sub-councils</w:t>
            </w:r>
          </w:p>
        </w:tc>
        <w:tc>
          <w:tcPr>
            <w:tcW w:w="7290" w:type="dxa"/>
          </w:tcPr>
          <w:p w:rsidR="00912D76" w:rsidRPr="00CE603C" w:rsidRDefault="00CE603C" w:rsidP="00912D76">
            <w:pPr>
              <w:rPr>
                <w:rFonts w:eastAsia="Times New Roman" w:cs="Arial"/>
                <w:color w:val="222222"/>
                <w:lang w:val="mn-MN"/>
              </w:rPr>
            </w:pPr>
            <w:r>
              <w:rPr>
                <w:rFonts w:eastAsia="Times New Roman" w:cs="Arial"/>
                <w:color w:val="222222"/>
                <w:lang w:val="mn-MN"/>
              </w:rPr>
              <w:t>Дэд зөвлөлүүдүүд мэдлэг, туршлагаа хуваалцах семинар</w:t>
            </w:r>
          </w:p>
        </w:tc>
      </w:tr>
      <w:tr w:rsidR="00912D76" w:rsidRPr="00BF1A0C" w:rsidTr="00BF1A0C">
        <w:tc>
          <w:tcPr>
            <w:tcW w:w="7110" w:type="dxa"/>
          </w:tcPr>
          <w:p w:rsidR="00912D76" w:rsidRPr="00BF1A0C" w:rsidRDefault="00912D76" w:rsidP="00B52C5A">
            <w:pPr>
              <w:shd w:val="clear" w:color="auto" w:fill="FFFFFF"/>
              <w:rPr>
                <w:rFonts w:eastAsia="Times New Roman" w:cs="Arial"/>
              </w:rPr>
            </w:pPr>
            <w:r w:rsidRPr="00912D76">
              <w:rPr>
                <w:rFonts w:eastAsia="Times New Roman" w:cs="Arial"/>
              </w:rPr>
              <w:t>organizing EITI re</w:t>
            </w:r>
            <w:r w:rsidR="00B52C5A" w:rsidRPr="00BF1A0C">
              <w:rPr>
                <w:rFonts w:eastAsia="Times New Roman" w:cs="Arial"/>
              </w:rPr>
              <w:t>gional conferences and roadshow</w:t>
            </w:r>
          </w:p>
        </w:tc>
        <w:tc>
          <w:tcPr>
            <w:tcW w:w="7290" w:type="dxa"/>
          </w:tcPr>
          <w:p w:rsidR="00912D76" w:rsidRPr="00CE603C" w:rsidRDefault="00CE603C" w:rsidP="00912D76">
            <w:pPr>
              <w:rPr>
                <w:rFonts w:eastAsia="Times New Roman" w:cs="Arial"/>
                <w:color w:val="222222"/>
                <w:lang w:val="mn-MN"/>
              </w:rPr>
            </w:pPr>
            <w:r>
              <w:rPr>
                <w:rFonts w:eastAsia="Times New Roman" w:cs="Arial"/>
                <w:color w:val="222222"/>
                <w:lang w:val="mn-MN"/>
              </w:rPr>
              <w:t>ОҮИТБС-ын бүсийн чуулган, нээлттэй өдөрлөгийг зохион байгуулах</w:t>
            </w:r>
          </w:p>
        </w:tc>
      </w:tr>
      <w:tr w:rsidR="00912D76" w:rsidRPr="00BF1A0C" w:rsidTr="00BF1A0C">
        <w:tc>
          <w:tcPr>
            <w:tcW w:w="7110" w:type="dxa"/>
          </w:tcPr>
          <w:p w:rsidR="00912D76" w:rsidRPr="00BF1A0C" w:rsidRDefault="00912D76" w:rsidP="00B52C5A">
            <w:pPr>
              <w:shd w:val="clear" w:color="auto" w:fill="FFFFFF"/>
              <w:rPr>
                <w:rFonts w:eastAsia="Times New Roman" w:cs="Arial"/>
              </w:rPr>
            </w:pPr>
            <w:r w:rsidRPr="00912D76">
              <w:rPr>
                <w:rFonts w:eastAsia="Times New Roman" w:cs="Arial"/>
              </w:rPr>
              <w:t>MEITI Communication activities</w:t>
            </w:r>
          </w:p>
        </w:tc>
        <w:tc>
          <w:tcPr>
            <w:tcW w:w="7290" w:type="dxa"/>
          </w:tcPr>
          <w:p w:rsidR="00912D76" w:rsidRPr="00CE603C" w:rsidRDefault="00CE603C" w:rsidP="00912D76">
            <w:pPr>
              <w:rPr>
                <w:rFonts w:eastAsia="Times New Roman" w:cs="Arial"/>
                <w:color w:val="222222"/>
                <w:lang w:val="mn-MN"/>
              </w:rPr>
            </w:pPr>
            <w:r>
              <w:rPr>
                <w:rFonts w:eastAsia="Times New Roman" w:cs="Arial"/>
                <w:color w:val="222222"/>
                <w:lang w:val="mn-MN"/>
              </w:rPr>
              <w:t>Харилцаа сургалтын арга хэмжээ</w:t>
            </w:r>
          </w:p>
        </w:tc>
      </w:tr>
      <w:tr w:rsidR="00912D76" w:rsidRPr="00BF1A0C" w:rsidTr="00BF1A0C">
        <w:tc>
          <w:tcPr>
            <w:tcW w:w="7110" w:type="dxa"/>
          </w:tcPr>
          <w:p w:rsidR="00912D76" w:rsidRPr="00BF1A0C" w:rsidRDefault="00912D76" w:rsidP="00B52C5A">
            <w:pPr>
              <w:shd w:val="clear" w:color="auto" w:fill="FFFFFF"/>
              <w:rPr>
                <w:rFonts w:eastAsia="Times New Roman" w:cs="Arial"/>
              </w:rPr>
            </w:pPr>
            <w:r w:rsidRPr="00912D76">
              <w:rPr>
                <w:rFonts w:eastAsia="Times New Roman" w:cs="Arial"/>
              </w:rPr>
              <w:t>Workshops for NGOs and journalists on EITI activities and data access</w:t>
            </w:r>
          </w:p>
        </w:tc>
        <w:tc>
          <w:tcPr>
            <w:tcW w:w="7290" w:type="dxa"/>
          </w:tcPr>
          <w:p w:rsidR="00912D76" w:rsidRPr="00CE603C" w:rsidRDefault="00CE603C" w:rsidP="00CE603C">
            <w:pPr>
              <w:rPr>
                <w:rFonts w:eastAsia="Times New Roman" w:cs="Arial"/>
                <w:color w:val="222222"/>
                <w:lang w:val="mn-MN"/>
              </w:rPr>
            </w:pPr>
            <w:r>
              <w:rPr>
                <w:rFonts w:eastAsia="Times New Roman" w:cs="Arial"/>
                <w:color w:val="222222"/>
                <w:lang w:val="mn-MN"/>
              </w:rPr>
              <w:t>ТББ, Сэтгүүлчдийн ОҮИТБС-д оролцуулах, өгөгдлийг ашиглах сургалт</w:t>
            </w:r>
          </w:p>
        </w:tc>
      </w:tr>
      <w:tr w:rsidR="00912D76" w:rsidRPr="00BF1A0C" w:rsidTr="00BF1A0C">
        <w:trPr>
          <w:trHeight w:val="58"/>
        </w:trPr>
        <w:tc>
          <w:tcPr>
            <w:tcW w:w="7110" w:type="dxa"/>
          </w:tcPr>
          <w:p w:rsidR="00912D76" w:rsidRPr="00BF1A0C" w:rsidRDefault="00912D76" w:rsidP="00B52C5A">
            <w:pPr>
              <w:shd w:val="clear" w:color="auto" w:fill="FFFFFF"/>
              <w:rPr>
                <w:rFonts w:eastAsia="Times New Roman" w:cs="Arial"/>
              </w:rPr>
            </w:pPr>
            <w:r w:rsidRPr="00912D76">
              <w:rPr>
                <w:rFonts w:eastAsia="Times New Roman" w:cs="Arial"/>
                <w:b/>
                <w:bCs/>
              </w:rPr>
              <w:t>Activity 1.2. Multi-Stakeholder Group gender parity.</w:t>
            </w:r>
          </w:p>
        </w:tc>
        <w:tc>
          <w:tcPr>
            <w:tcW w:w="7290" w:type="dxa"/>
          </w:tcPr>
          <w:p w:rsidR="00912D76" w:rsidRPr="00315F8E" w:rsidRDefault="00CE603C" w:rsidP="00CE603C">
            <w:pPr>
              <w:rPr>
                <w:rFonts w:eastAsia="Times New Roman" w:cs="Arial"/>
                <w:b/>
                <w:color w:val="222222"/>
                <w:lang w:val="mn-MN"/>
              </w:rPr>
            </w:pPr>
            <w:r w:rsidRPr="00315F8E">
              <w:rPr>
                <w:rFonts w:eastAsia="Times New Roman" w:cs="Arial"/>
                <w:b/>
                <w:color w:val="222222"/>
                <w:lang w:val="mn-MN"/>
              </w:rPr>
              <w:t>Үйл ажиллагаа 1.2 Олон талт оролцогчдын хэсгийн жендерийн тэнцвэрт байдлыг хангах</w:t>
            </w:r>
          </w:p>
        </w:tc>
      </w:tr>
      <w:tr w:rsidR="00912D76" w:rsidRPr="00BF1A0C" w:rsidTr="00BF1A0C">
        <w:tc>
          <w:tcPr>
            <w:tcW w:w="7110" w:type="dxa"/>
          </w:tcPr>
          <w:p w:rsidR="00912D76" w:rsidRPr="00BF1A0C" w:rsidRDefault="00912D76" w:rsidP="00B52C5A">
            <w:pPr>
              <w:shd w:val="clear" w:color="auto" w:fill="FFFFFF"/>
              <w:rPr>
                <w:rFonts w:eastAsia="Times New Roman" w:cs="Arial"/>
              </w:rPr>
            </w:pPr>
            <w:r w:rsidRPr="00912D76">
              <w:rPr>
                <w:rFonts w:eastAsia="Times New Roman" w:cs="Arial"/>
              </w:rPr>
              <w:t xml:space="preserve">Limited progress to achieve gender parity goals has been made to date. By 2022 gender targets must be met in the composition of the </w:t>
            </w:r>
            <w:r w:rsidRPr="00912D76">
              <w:rPr>
                <w:rFonts w:eastAsia="Times New Roman" w:cs="Arial"/>
              </w:rPr>
              <w:lastRenderedPageBreak/>
              <w:t>EITI MSG (National Council and Working Group), the MEITI Secretariat and the Sub-national EITI Councils.</w:t>
            </w:r>
          </w:p>
        </w:tc>
        <w:tc>
          <w:tcPr>
            <w:tcW w:w="7290" w:type="dxa"/>
          </w:tcPr>
          <w:p w:rsidR="00912D76" w:rsidRPr="00CE603C" w:rsidRDefault="00CE603C" w:rsidP="00FD564D">
            <w:pPr>
              <w:rPr>
                <w:rFonts w:eastAsia="Times New Roman" w:cs="Arial"/>
                <w:color w:val="222222"/>
                <w:lang w:val="mn-MN"/>
              </w:rPr>
            </w:pPr>
            <w:r>
              <w:rPr>
                <w:rFonts w:eastAsia="Times New Roman" w:cs="Arial"/>
                <w:color w:val="222222"/>
                <w:lang w:val="mn-MN"/>
              </w:rPr>
              <w:lastRenderedPageBreak/>
              <w:t>Жендерийн тэнцвэрт байдлыг хангах талаар тун бага зүйл хийгдсэн. 2022 онд ОҮИТБС-ын Ү</w:t>
            </w:r>
            <w:r w:rsidR="00FD564D">
              <w:rPr>
                <w:rFonts w:eastAsia="Times New Roman" w:cs="Arial"/>
                <w:color w:val="222222"/>
                <w:lang w:val="mn-MN"/>
              </w:rPr>
              <w:t>н</w:t>
            </w:r>
            <w:r>
              <w:rPr>
                <w:rFonts w:eastAsia="Times New Roman" w:cs="Arial"/>
                <w:color w:val="222222"/>
                <w:lang w:val="mn-MN"/>
              </w:rPr>
              <w:t xml:space="preserve">дэсний зөвлөл, Ажлын хэсэг, алба, дэд </w:t>
            </w:r>
            <w:r>
              <w:rPr>
                <w:rFonts w:eastAsia="Times New Roman" w:cs="Arial"/>
                <w:color w:val="222222"/>
                <w:lang w:val="mn-MN"/>
              </w:rPr>
              <w:lastRenderedPageBreak/>
              <w:t>зөвлөлүүд</w:t>
            </w:r>
            <w:r w:rsidR="00FD564D">
              <w:rPr>
                <w:rFonts w:eastAsia="Times New Roman" w:cs="Arial"/>
                <w:color w:val="222222"/>
                <w:lang w:val="mn-MN"/>
              </w:rPr>
              <w:t>ийн бүрэлдэхүүн</w:t>
            </w:r>
            <w:r>
              <w:rPr>
                <w:rFonts w:eastAsia="Times New Roman" w:cs="Arial"/>
                <w:color w:val="222222"/>
                <w:lang w:val="mn-MN"/>
              </w:rPr>
              <w:t xml:space="preserve">д </w:t>
            </w:r>
            <w:r w:rsidR="00FD564D">
              <w:rPr>
                <w:rFonts w:eastAsia="Times New Roman" w:cs="Arial"/>
                <w:color w:val="222222"/>
                <w:lang w:val="mn-MN"/>
              </w:rPr>
              <w:t>тэнцвэртэй байдлын шаардлагыг хангах.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lastRenderedPageBreak/>
              <w:t>Activities to be supported include:</w:t>
            </w:r>
          </w:p>
        </w:tc>
        <w:tc>
          <w:tcPr>
            <w:tcW w:w="7290" w:type="dxa"/>
          </w:tcPr>
          <w:p w:rsidR="00D77B1E" w:rsidRPr="004C0617" w:rsidRDefault="00D77B1E" w:rsidP="00D77B1E">
            <w:pPr>
              <w:rPr>
                <w:rFonts w:eastAsia="Times New Roman" w:cs="Arial"/>
                <w:color w:val="222222"/>
                <w:lang w:val="mn-MN"/>
              </w:rPr>
            </w:pPr>
            <w:r>
              <w:rPr>
                <w:rFonts w:eastAsia="Times New Roman" w:cs="Arial"/>
                <w:color w:val="222222"/>
                <w:lang w:val="mn-MN"/>
              </w:rPr>
              <w:t xml:space="preserve">Хэрэгжүүлэх ажил </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Workshops on mining sector gender issues</w:t>
            </w:r>
          </w:p>
        </w:tc>
        <w:tc>
          <w:tcPr>
            <w:tcW w:w="7290" w:type="dxa"/>
          </w:tcPr>
          <w:p w:rsidR="00D77B1E" w:rsidRPr="00FD564D" w:rsidRDefault="00D77B1E" w:rsidP="00D77B1E">
            <w:pPr>
              <w:rPr>
                <w:rFonts w:eastAsia="Times New Roman" w:cs="Arial"/>
                <w:color w:val="222222"/>
                <w:lang w:val="mn-MN"/>
              </w:rPr>
            </w:pPr>
            <w:r>
              <w:rPr>
                <w:rFonts w:eastAsia="Times New Roman" w:cs="Arial"/>
                <w:color w:val="222222"/>
                <w:lang w:val="mn-MN"/>
              </w:rPr>
              <w:t>Уул уурхайн салбарын жендерийн асуудлаар семинар зохион байгуулах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Preparing communication and outreach at National and Subnational levels for new MSG and EITI Council members</w:t>
            </w:r>
          </w:p>
        </w:tc>
        <w:tc>
          <w:tcPr>
            <w:tcW w:w="7290" w:type="dxa"/>
          </w:tcPr>
          <w:p w:rsidR="00D77B1E" w:rsidRPr="00FD564D" w:rsidRDefault="00D77B1E" w:rsidP="00D77B1E">
            <w:pPr>
              <w:rPr>
                <w:rFonts w:eastAsia="Times New Roman" w:cs="Arial"/>
                <w:color w:val="222222"/>
                <w:lang w:val="mn-MN"/>
              </w:rPr>
            </w:pPr>
            <w:r>
              <w:rPr>
                <w:rFonts w:eastAsia="Times New Roman" w:cs="Arial"/>
                <w:color w:val="222222"/>
                <w:lang w:val="mn-MN"/>
              </w:rPr>
              <w:t>Үндэсний болон орон нутгийн түвшинд Ажлын хэсэг, Дэд зөвлөлд шинэ гишүүдийг бэлтгэх, харилцах бэлтгэл ажлыг хангах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b/>
                <w:bCs/>
              </w:rPr>
              <w:t>Activity 1.3. Implementation of the Beneficial Ownership Roadmap</w:t>
            </w:r>
          </w:p>
        </w:tc>
        <w:tc>
          <w:tcPr>
            <w:tcW w:w="7290" w:type="dxa"/>
          </w:tcPr>
          <w:p w:rsidR="00D77B1E" w:rsidRPr="00315F8E" w:rsidRDefault="00D77B1E" w:rsidP="00D77B1E">
            <w:pPr>
              <w:rPr>
                <w:rFonts w:eastAsia="Times New Roman" w:cs="Arial"/>
                <w:b/>
                <w:color w:val="222222"/>
                <w:lang w:val="mn-MN"/>
              </w:rPr>
            </w:pPr>
            <w:r w:rsidRPr="00315F8E">
              <w:rPr>
                <w:rFonts w:eastAsia="Times New Roman" w:cs="Arial"/>
                <w:b/>
                <w:color w:val="222222"/>
                <w:lang w:val="mn-MN"/>
              </w:rPr>
              <w:t>Үйл ажиллагаа 1.3 Эцсийн өмчлөгчийг ил тод болгох Замын Зураг-ийн хэрэгжилтийг хангах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A Roadmap for Beneficial Ownership disclosures was approved at the end of 201</w:t>
            </w:r>
            <w:r>
              <w:rPr>
                <w:rFonts w:eastAsia="Times New Roman" w:cs="Arial"/>
                <w:lang w:val="mn-MN"/>
              </w:rPr>
              <w:t>6</w:t>
            </w:r>
            <w:r w:rsidRPr="00912D76">
              <w:rPr>
                <w:rFonts w:eastAsia="Times New Roman" w:cs="Arial"/>
              </w:rPr>
              <w:t xml:space="preserve"> with a view to implementation in the succeeding years. The ability to proceed with full implementation of the BO Roadmap is contingent on adoption of the Law on Transparency in the Mineral Resources Sector, which would mandate relevant disclosures, to be before parliament in H2</w:t>
            </w:r>
          </w:p>
        </w:tc>
        <w:tc>
          <w:tcPr>
            <w:tcW w:w="7290" w:type="dxa"/>
          </w:tcPr>
          <w:p w:rsidR="00D77B1E" w:rsidRPr="00FD564D" w:rsidRDefault="00D77B1E" w:rsidP="00D77B1E">
            <w:pPr>
              <w:rPr>
                <w:rFonts w:eastAsia="Times New Roman" w:cs="Arial"/>
                <w:color w:val="222222"/>
                <w:lang w:val="mn-MN"/>
              </w:rPr>
            </w:pPr>
            <w:r>
              <w:rPr>
                <w:rFonts w:eastAsia="Times New Roman" w:cs="Arial"/>
                <w:color w:val="222222"/>
                <w:lang w:val="mn-MN"/>
              </w:rPr>
              <w:t xml:space="preserve">Эцсийн өмчлөгчийг ил тод болгох Замын Зураг- ийг 2016 онд баталсан бөгөөд дараа дараагийн жилүэдэд хэрэгжүүлж байна. Замын Зураг-ийг бүрэн хэрэгжүүлэхэд Эрдэс баялгийн салбарын ил тод байдлын хуулийг батлах шаардлагатай бөгөөд тэгэснээр ил тод болох ба УИХ 2021 оны намрын чуулганаар уг хуулийг хэлэлцэх төлөвлөгөөтэй байна. </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Activities to be supported include:</w:t>
            </w:r>
          </w:p>
        </w:tc>
        <w:tc>
          <w:tcPr>
            <w:tcW w:w="7290" w:type="dxa"/>
          </w:tcPr>
          <w:p w:rsidR="00D77B1E" w:rsidRPr="004C0617" w:rsidRDefault="00D77B1E" w:rsidP="00D77B1E">
            <w:pPr>
              <w:rPr>
                <w:rFonts w:eastAsia="Times New Roman" w:cs="Arial"/>
                <w:color w:val="222222"/>
                <w:lang w:val="mn-MN"/>
              </w:rPr>
            </w:pPr>
            <w:r>
              <w:rPr>
                <w:rFonts w:eastAsia="Times New Roman" w:cs="Arial"/>
                <w:color w:val="222222"/>
                <w:lang w:val="mn-MN"/>
              </w:rPr>
              <w:t xml:space="preserve">Хэрэгжүүлэх ажил </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design of a BO reporting online system</w:t>
            </w:r>
          </w:p>
        </w:tc>
        <w:tc>
          <w:tcPr>
            <w:tcW w:w="7290" w:type="dxa"/>
          </w:tcPr>
          <w:p w:rsidR="00D77B1E" w:rsidRPr="00FD564D" w:rsidRDefault="00D77B1E" w:rsidP="00D77B1E">
            <w:pPr>
              <w:rPr>
                <w:rFonts w:eastAsia="Times New Roman" w:cs="Arial"/>
                <w:color w:val="222222"/>
                <w:lang w:val="mn-MN"/>
              </w:rPr>
            </w:pPr>
            <w:r>
              <w:rPr>
                <w:rFonts w:eastAsia="Times New Roman" w:cs="Arial"/>
                <w:color w:val="222222"/>
                <w:lang w:val="mn-MN"/>
              </w:rPr>
              <w:t>ЭӨ-ийг тайлагнах онлайн системийн ыг гаргах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Implementation and training for the new system and procedures</w:t>
            </w:r>
          </w:p>
        </w:tc>
        <w:tc>
          <w:tcPr>
            <w:tcW w:w="7290" w:type="dxa"/>
          </w:tcPr>
          <w:p w:rsidR="00D77B1E" w:rsidRPr="00FD564D" w:rsidRDefault="00D77B1E" w:rsidP="00D77B1E">
            <w:pPr>
              <w:rPr>
                <w:rFonts w:eastAsia="Times New Roman" w:cs="Arial"/>
                <w:color w:val="222222"/>
                <w:lang w:val="mn-MN"/>
              </w:rPr>
            </w:pPr>
            <w:r>
              <w:rPr>
                <w:rFonts w:eastAsia="Times New Roman" w:cs="Arial"/>
                <w:color w:val="222222"/>
                <w:lang w:val="mn-MN"/>
              </w:rPr>
              <w:t>Шинэ систем, холбогдох журмыг хэрэгжүүлэх, дагалдах суогалтыг зохион байгуулах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Workshops for data providers and stakeholders</w:t>
            </w:r>
          </w:p>
        </w:tc>
        <w:tc>
          <w:tcPr>
            <w:tcW w:w="7290" w:type="dxa"/>
          </w:tcPr>
          <w:p w:rsidR="00D77B1E" w:rsidRPr="00FD564D" w:rsidRDefault="00D77B1E" w:rsidP="00D77B1E">
            <w:pPr>
              <w:rPr>
                <w:rFonts w:eastAsia="Times New Roman" w:cs="Arial"/>
                <w:color w:val="222222"/>
                <w:lang w:val="mn-MN"/>
              </w:rPr>
            </w:pPr>
            <w:r>
              <w:rPr>
                <w:rFonts w:eastAsia="Times New Roman" w:cs="Arial"/>
                <w:color w:val="222222"/>
                <w:lang w:val="mn-MN"/>
              </w:rPr>
              <w:t>Тайлагнагч болон оролцогч талуудыг сургах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BF1A0C">
              <w:rPr>
                <w:rFonts w:eastAsia="Times New Roman" w:cs="Arial"/>
              </w:rPr>
              <w:t>d</w:t>
            </w:r>
            <w:r w:rsidRPr="00912D76">
              <w:rPr>
                <w:rFonts w:eastAsia="Times New Roman" w:cs="Arial"/>
              </w:rPr>
              <w:t xml:space="preserve">issemination and discussion about BO reporting through radio and </w:t>
            </w:r>
            <w:proofErr w:type="spellStart"/>
            <w:r w:rsidRPr="00912D76">
              <w:rPr>
                <w:rFonts w:eastAsia="Times New Roman" w:cs="Arial"/>
              </w:rPr>
              <w:t>tv</w:t>
            </w:r>
            <w:proofErr w:type="spellEnd"/>
            <w:r w:rsidRPr="00912D76">
              <w:rPr>
                <w:rFonts w:eastAsia="Times New Roman" w:cs="Arial"/>
              </w:rPr>
              <w:t xml:space="preserve"> and social networks</w:t>
            </w:r>
          </w:p>
        </w:tc>
        <w:tc>
          <w:tcPr>
            <w:tcW w:w="7290" w:type="dxa"/>
          </w:tcPr>
          <w:p w:rsidR="00D77B1E" w:rsidRPr="00F47ADE" w:rsidRDefault="00D77B1E" w:rsidP="00D77B1E">
            <w:pPr>
              <w:rPr>
                <w:rFonts w:eastAsia="Times New Roman" w:cs="Arial"/>
                <w:color w:val="222222"/>
                <w:lang w:val="mn-MN"/>
              </w:rPr>
            </w:pPr>
            <w:r>
              <w:rPr>
                <w:rFonts w:eastAsia="Times New Roman" w:cs="Arial"/>
                <w:color w:val="222222"/>
                <w:lang w:val="mn-MN"/>
              </w:rPr>
              <w:t>ЭӨ-ийн тайлагналыг радио, телевиз, нийгмийн сүлжээгээр түгээх, хэлэлцэх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b/>
                <w:bCs/>
              </w:rPr>
              <w:t>Activity 1.4. Validation support</w:t>
            </w:r>
          </w:p>
        </w:tc>
        <w:tc>
          <w:tcPr>
            <w:tcW w:w="7290" w:type="dxa"/>
          </w:tcPr>
          <w:p w:rsidR="00D77B1E" w:rsidRPr="00315F8E" w:rsidRDefault="00D77B1E" w:rsidP="00D77B1E">
            <w:pPr>
              <w:rPr>
                <w:rFonts w:eastAsia="Times New Roman" w:cs="Arial"/>
                <w:b/>
                <w:color w:val="222222"/>
                <w:lang w:val="mn-MN"/>
              </w:rPr>
            </w:pPr>
            <w:r w:rsidRPr="00315F8E">
              <w:rPr>
                <w:rFonts w:eastAsia="Times New Roman" w:cs="Arial"/>
                <w:b/>
                <w:color w:val="222222"/>
                <w:lang w:val="mn-MN"/>
              </w:rPr>
              <w:t>Үйл ажиллагаа 1.4 Баталгаажуулалтын дэмжлэг</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The EITI holds all implementing countries to the same global standard. Through Validation, the EITI’s quality assurance mechanism, implementing countries are assessed on their ability to meet the provisions of the EITI Standard.  The EITI’s Validation model was revised in December 2020. The new approach seeks to maintain a rigorous approach to Validation, while ensuring that EITI implementation can respond to national priorities. It acknowledges that countries have starting different points and face diverse challenges in implementing the EITI, and that they will use the EITI to address their most pressing priorities for improving extractives governance.</w:t>
            </w:r>
          </w:p>
        </w:tc>
        <w:tc>
          <w:tcPr>
            <w:tcW w:w="7290" w:type="dxa"/>
          </w:tcPr>
          <w:p w:rsidR="00D77B1E" w:rsidRPr="00F47ADE" w:rsidRDefault="00D77B1E" w:rsidP="00D77B1E">
            <w:pPr>
              <w:rPr>
                <w:rFonts w:eastAsia="Times New Roman" w:cs="Arial"/>
                <w:color w:val="222222"/>
                <w:lang w:val="mn-MN"/>
              </w:rPr>
            </w:pPr>
            <w:r>
              <w:rPr>
                <w:rFonts w:eastAsia="Times New Roman" w:cs="Arial"/>
                <w:color w:val="222222"/>
                <w:lang w:val="mn-MN"/>
              </w:rPr>
              <w:t>ОҮИТБС нь бүх хэрэгжүүлэгч орнуудаа олон улсын стандартын хүрээнд удирддаг. Баталгаажуулалт хэмээх ОҮИТБС-ын чанарын үнэлгээний аргачлалын дагуу хэрэгжүүлэгч орнууд ОҮИТБС-ын стандартын шаардлагуудыг хангаж байгаа эсхэд үнэлгээ хийгддэг. ОҮИТБС-ын Баталгаажуулалтын аргачлалыг 2020 оны 12-р сард шинэчлэн мөрдөж байна. Шинэ аргачлал нь Баталгаажуулалтыг нарийн чанд болгож, ОҮИТБС-ыг үндэсний хэмжээний тэргүүлэх асуудлыг шийдвэрлэхэд дэмжлэг өгсөн эсхийг үнэлнэ.Хэрэгжүүлэгч орнууд ОҮИТБС-ыг хэрэгжүүлсэн түвшин нь янз бүр хэдий ч олборлох үйлдвэрлэлийн засаглалын тулгамдсан асуудлыг шийдвэрлэхдээ ОҮИТБС-ыг ашиглах ёстой юм.</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MEITI will undergo Validation from January 2022.  The Validation process requires numerous activities for MEITI, MSG and other stakeholders.</w:t>
            </w:r>
          </w:p>
        </w:tc>
        <w:tc>
          <w:tcPr>
            <w:tcW w:w="7290" w:type="dxa"/>
          </w:tcPr>
          <w:p w:rsidR="00D77B1E" w:rsidRPr="00D77B1E" w:rsidRDefault="00D77B1E" w:rsidP="00D77B1E">
            <w:pPr>
              <w:rPr>
                <w:rFonts w:eastAsia="Times New Roman" w:cs="Arial"/>
                <w:color w:val="222222"/>
                <w:lang w:val="mn-MN"/>
              </w:rPr>
            </w:pPr>
            <w:r>
              <w:rPr>
                <w:rFonts w:eastAsia="Times New Roman" w:cs="Arial"/>
                <w:color w:val="222222"/>
                <w:lang w:val="mn-MN"/>
              </w:rPr>
              <w:t>Монгол Улсын ОҮИТБС нь 2022 оны 1-р сараас Баталгаажуулалтад орно. Баталгаажуулалтын дагуу Монголын ОҮИТБС, Ажлын хэсэг, оролцогч талууд олон тооны ажил хэрэгжүүлэх ёстой.</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Activities to be supported include:</w:t>
            </w:r>
          </w:p>
        </w:tc>
        <w:tc>
          <w:tcPr>
            <w:tcW w:w="7290" w:type="dxa"/>
          </w:tcPr>
          <w:p w:rsidR="00D77B1E" w:rsidRPr="004C0617" w:rsidRDefault="00D77B1E" w:rsidP="00D77B1E">
            <w:pPr>
              <w:rPr>
                <w:rFonts w:eastAsia="Times New Roman" w:cs="Arial"/>
                <w:color w:val="222222"/>
                <w:lang w:val="mn-MN"/>
              </w:rPr>
            </w:pPr>
            <w:r>
              <w:rPr>
                <w:rFonts w:eastAsia="Times New Roman" w:cs="Arial"/>
                <w:color w:val="222222"/>
                <w:lang w:val="mn-MN"/>
              </w:rPr>
              <w:t xml:space="preserve">Хэрэгжүүлэх ажил </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Hosting national conferences (pre- and post-Validation)</w:t>
            </w:r>
          </w:p>
        </w:tc>
        <w:tc>
          <w:tcPr>
            <w:tcW w:w="7290" w:type="dxa"/>
          </w:tcPr>
          <w:p w:rsidR="00D77B1E" w:rsidRPr="00D77B1E" w:rsidRDefault="00D77B1E" w:rsidP="00D77B1E">
            <w:pPr>
              <w:rPr>
                <w:rFonts w:eastAsia="Times New Roman" w:cs="Arial"/>
                <w:color w:val="222222"/>
                <w:lang w:val="mn-MN"/>
              </w:rPr>
            </w:pPr>
            <w:r>
              <w:rPr>
                <w:rFonts w:eastAsia="Times New Roman" w:cs="Arial"/>
                <w:color w:val="222222"/>
                <w:lang w:val="mn-MN"/>
              </w:rPr>
              <w:t>Баталгаажуулалтын өмнөх, дараах Үндэсний бага хурал</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lastRenderedPageBreak/>
              <w:t>Preparation and participation in the international EITI Conference</w:t>
            </w:r>
          </w:p>
        </w:tc>
        <w:tc>
          <w:tcPr>
            <w:tcW w:w="7290" w:type="dxa"/>
          </w:tcPr>
          <w:p w:rsidR="00D77B1E" w:rsidRPr="00D77B1E" w:rsidRDefault="00D77B1E" w:rsidP="00D77B1E">
            <w:pPr>
              <w:rPr>
                <w:rFonts w:eastAsia="Times New Roman" w:cs="Arial"/>
                <w:color w:val="222222"/>
                <w:lang w:val="mn-MN"/>
              </w:rPr>
            </w:pPr>
            <w:r>
              <w:rPr>
                <w:rFonts w:eastAsia="Times New Roman" w:cs="Arial"/>
                <w:color w:val="222222"/>
                <w:lang w:val="mn-MN"/>
              </w:rPr>
              <w:t>ОҮИТБС-ын Олон улсын бага хуралд бэлтгэх, оролцох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b/>
                <w:bCs/>
              </w:rPr>
              <w:t>Component 2. Preparing for EITI mainstreaming ($250,000).</w:t>
            </w:r>
            <w:r w:rsidRPr="00912D76">
              <w:rPr>
                <w:rFonts w:eastAsia="Times New Roman" w:cs="Arial"/>
              </w:rPr>
              <w:t> Mainstreaming or systematic disclosures is a new requirement under the 2019 EITI Standard. The implementation of mainstreaming may affect how implementing countries should allocate resources in pushing transparency and accountability in extractive governance. This includes addressing existing legal and administrative barriers to information disclosures, through changes in regulations and improvements in the existing reporting and data management systems.  MMHI acknowledges these challenges and remains committed to ensure Mongolia’s active participation in EITI and will align the ongoing MMHI systems enhancement initiatives such as the existing EITI E-reporting system with EITI requirements</w:t>
            </w:r>
          </w:p>
        </w:tc>
        <w:tc>
          <w:tcPr>
            <w:tcW w:w="7290" w:type="dxa"/>
          </w:tcPr>
          <w:p w:rsidR="00D77B1E" w:rsidRPr="00D77B1E" w:rsidRDefault="00D77B1E" w:rsidP="003F4846">
            <w:pPr>
              <w:rPr>
                <w:rFonts w:eastAsia="Times New Roman" w:cs="Arial"/>
                <w:color w:val="222222"/>
                <w:lang w:val="mn-MN"/>
              </w:rPr>
            </w:pPr>
            <w:r w:rsidRPr="00315F8E">
              <w:rPr>
                <w:rFonts w:eastAsia="Times New Roman" w:cs="Arial"/>
                <w:b/>
                <w:color w:val="222222"/>
                <w:lang w:val="mn-MN"/>
              </w:rPr>
              <w:t>2-р хэсэг ОҮИТБС-ыг мэдээллийн системтэй эх сурвалж болгох бэлтгэл ажил</w:t>
            </w:r>
            <w:r w:rsidRPr="00315F8E">
              <w:rPr>
                <w:rFonts w:eastAsia="Times New Roman" w:cs="Arial"/>
                <w:b/>
                <w:color w:val="222222"/>
              </w:rPr>
              <w:t xml:space="preserve">(250.00 </w:t>
            </w:r>
            <w:r w:rsidRPr="00315F8E">
              <w:rPr>
                <w:rFonts w:eastAsia="Times New Roman" w:cs="Arial"/>
                <w:b/>
                <w:color w:val="222222"/>
                <w:lang w:val="mn-MN"/>
              </w:rPr>
              <w:t>ам.долл</w:t>
            </w:r>
            <w:r w:rsidRPr="00315F8E">
              <w:rPr>
                <w:rFonts w:eastAsia="Times New Roman" w:cs="Arial"/>
                <w:b/>
                <w:color w:val="222222"/>
              </w:rPr>
              <w:t>)</w:t>
            </w:r>
            <w:r w:rsidRPr="00315F8E">
              <w:rPr>
                <w:rFonts w:eastAsia="Times New Roman" w:cs="Arial"/>
                <w:b/>
                <w:color w:val="222222"/>
                <w:lang w:val="mn-MN"/>
              </w:rPr>
              <w:t>.</w:t>
            </w:r>
            <w:r>
              <w:rPr>
                <w:rFonts w:eastAsia="Times New Roman" w:cs="Arial"/>
                <w:color w:val="222222"/>
                <w:lang w:val="mn-MN"/>
              </w:rPr>
              <w:t xml:space="preserve"> ОҮИТБС-ын 2019 оны стандартаар Системтэйгээр ил тод болгох шаардлагыг шинээр баталсан юм. Энэ шинэ шаардлагыг хэрэгжүүлэхэд олборлох салбар дахь ил тод, хариуцлагатай байдлыг </w:t>
            </w:r>
            <w:r w:rsidR="003F4846">
              <w:rPr>
                <w:rFonts w:eastAsia="Times New Roman" w:cs="Arial"/>
                <w:color w:val="222222"/>
                <w:lang w:val="mn-MN"/>
              </w:rPr>
              <w:t xml:space="preserve">идэвхжүүлэхэд хэрэгжүүлэгч орнуудыг зардал хуваарилах, дайчлахад нь нөлөөлнө. Мэдээллийг ил болгоход оршиж байгаа хууль, захиргааны саадыг арилган, тайлагнал, өгөгдлийн одоогийн системтэй хамтад нь сайжруулж, зохицуулахад оршиж байна. УУХҮЯ нь энэхүй сорилтыг ухамсарлан, ОҮИТБС-д Монгол Улсын идэвхтэй оролцоог хангахын төлөө байгаа бөгөөд УУХҮЯ-наас хэрэгжүүлж буй системийн шинэчлэлийн санаачлагаа ОҮИТБС-ын цахим тайлагналын системтэй ОҮИТБС-ын стандартын дагуу холбож өгөх юм.  </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b/>
                <w:bCs/>
              </w:rPr>
              <w:t>Activity 2.1. Improving official statistics consistency through Enhancing E-Systems and data systemization</w:t>
            </w:r>
          </w:p>
        </w:tc>
        <w:tc>
          <w:tcPr>
            <w:tcW w:w="7290" w:type="dxa"/>
          </w:tcPr>
          <w:p w:rsidR="00D77B1E" w:rsidRPr="00315F8E" w:rsidRDefault="003F4846" w:rsidP="00C83CEE">
            <w:pPr>
              <w:rPr>
                <w:rFonts w:eastAsia="Times New Roman" w:cs="Arial"/>
                <w:b/>
                <w:color w:val="222222"/>
                <w:lang w:val="mn-MN"/>
              </w:rPr>
            </w:pPr>
            <w:r w:rsidRPr="00315F8E">
              <w:rPr>
                <w:rFonts w:eastAsia="Times New Roman" w:cs="Arial"/>
                <w:b/>
                <w:color w:val="222222"/>
                <w:lang w:val="mn-MN"/>
              </w:rPr>
              <w:t>Үйл ажиллагаа 2.1</w:t>
            </w:r>
            <w:r w:rsidR="00C83CEE" w:rsidRPr="00315F8E">
              <w:rPr>
                <w:rFonts w:eastAsia="Times New Roman" w:cs="Arial"/>
                <w:b/>
                <w:color w:val="222222"/>
                <w:lang w:val="mn-MN"/>
              </w:rPr>
              <w:t xml:space="preserve"> Цахим тайлагналын систем, өгөгдлийг системчлэх замаар албан ёсны статистик мэдээллийн нийцлийг сайжруулах </w:t>
            </w:r>
          </w:p>
        </w:tc>
      </w:tr>
      <w:tr w:rsidR="00D77B1E" w:rsidRPr="00BF1A0C" w:rsidTr="00BF1A0C">
        <w:tc>
          <w:tcPr>
            <w:tcW w:w="7110" w:type="dxa"/>
          </w:tcPr>
          <w:p w:rsidR="00D77B1E" w:rsidRPr="00BF1A0C" w:rsidRDefault="00D77B1E" w:rsidP="00D77B1E">
            <w:pPr>
              <w:shd w:val="clear" w:color="auto" w:fill="FFFFFF"/>
              <w:rPr>
                <w:rFonts w:eastAsia="Times New Roman" w:cs="Arial"/>
                <w:b/>
                <w:bCs/>
              </w:rPr>
            </w:pPr>
            <w:r w:rsidRPr="00912D76">
              <w:rPr>
                <w:rFonts w:eastAsia="Times New Roman" w:cs="Arial"/>
              </w:rPr>
              <w:t>The last Validation and past MEITI Reports have identified the need for greater consistency in official statistics issued by State bodies to close gaps, reduce inconsistency and improve quality. This will partly be addressed by upgrading and improving Mongolia’s existing EITI E-reporting system.  Some technical upgrades have been carried out in 2021 but a more wholesale upgrade is needed to address all data reporting issues. The proposed Law on Transparency in the Mineral Resources Sector, once adopted, will clarify the legal basis for disclosures by State bodies.</w:t>
            </w:r>
          </w:p>
        </w:tc>
        <w:tc>
          <w:tcPr>
            <w:tcW w:w="7290" w:type="dxa"/>
          </w:tcPr>
          <w:p w:rsidR="00D77B1E" w:rsidRPr="00FA616C" w:rsidRDefault="00FA616C" w:rsidP="00315F8E">
            <w:pPr>
              <w:rPr>
                <w:rFonts w:eastAsia="Times New Roman" w:cs="Arial"/>
                <w:color w:val="222222"/>
                <w:lang w:val="mn-MN"/>
              </w:rPr>
            </w:pPr>
            <w:r>
              <w:rPr>
                <w:rFonts w:eastAsia="Times New Roman" w:cs="Arial"/>
                <w:color w:val="222222"/>
                <w:lang w:val="mn-MN"/>
              </w:rPr>
              <w:t>Сүүлчийн Баталгаажуулалт болон Монголын ОҮИТБС-ын сүүлийн тайлангуудаар Төрийн байгууллагуудаас гаргаж албан ёсны статистик мэдээллийн нийцлийг сайжруулах хэрэгцээ байгааг өгүүлж, мэдээллийн зөрүүг арилгах, нийцгүй байдлыг шийдвэрлэж, чанарыг сайжруулах хэрэгтэй гэжээ. Монгол Улсын ОҮИТБС-ын Цахим тайлагналын системийг сайжруулах, хүчин чадлыг нэмэгдүүлэх замаар зарим асуудлыг шийднэ. 2021 онд зарим техникийн шинэчлэл хийсэн боловч бүхэлд нь сайжруулж, мэдээллийн тайлагналын бэрхшээл асуудлыг шийдвэрлэх хэрэгтэй байна. Хэрэв Эрдэс бая</w:t>
            </w:r>
            <w:r w:rsidR="00315F8E">
              <w:rPr>
                <w:rFonts w:eastAsia="Times New Roman" w:cs="Arial"/>
                <w:color w:val="222222"/>
                <w:lang w:val="mn-MN"/>
              </w:rPr>
              <w:t>л</w:t>
            </w:r>
            <w:r>
              <w:rPr>
                <w:rFonts w:eastAsia="Times New Roman" w:cs="Arial"/>
                <w:color w:val="222222"/>
                <w:lang w:val="mn-MN"/>
              </w:rPr>
              <w:t xml:space="preserve">гийн салбарын ил тод байдлын тухай хууль батлагдсан тохиолдолд Төрийн байгууллагуудаас ил тод болгох хуулийн асуудал шийдэгдэнэ.  </w:t>
            </w:r>
          </w:p>
        </w:tc>
      </w:tr>
      <w:tr w:rsidR="00D77B1E" w:rsidRPr="00BF1A0C" w:rsidTr="00BF1A0C">
        <w:tc>
          <w:tcPr>
            <w:tcW w:w="7110" w:type="dxa"/>
          </w:tcPr>
          <w:p w:rsidR="00D77B1E" w:rsidRPr="00BF1A0C" w:rsidRDefault="00D77B1E" w:rsidP="00D77B1E">
            <w:pPr>
              <w:shd w:val="clear" w:color="auto" w:fill="FFFFFF"/>
              <w:rPr>
                <w:rFonts w:eastAsia="Times New Roman" w:cs="Arial"/>
                <w:b/>
                <w:bCs/>
              </w:rPr>
            </w:pPr>
            <w:r w:rsidRPr="00912D76">
              <w:rPr>
                <w:rFonts w:eastAsia="Times New Roman" w:cs="Arial"/>
              </w:rPr>
              <w:t>Similarly, the MEITI is working with the National Audit Office on improve mining sector data quality and consistence across agencies.</w:t>
            </w:r>
          </w:p>
        </w:tc>
        <w:tc>
          <w:tcPr>
            <w:tcW w:w="7290" w:type="dxa"/>
          </w:tcPr>
          <w:p w:rsidR="00D77B1E" w:rsidRPr="00FA616C" w:rsidRDefault="00FA616C" w:rsidP="00FA616C">
            <w:pPr>
              <w:rPr>
                <w:rFonts w:eastAsia="Times New Roman" w:cs="Arial"/>
                <w:color w:val="222222"/>
                <w:lang w:val="mn-MN"/>
              </w:rPr>
            </w:pPr>
            <w:r>
              <w:rPr>
                <w:rFonts w:eastAsia="Times New Roman" w:cs="Arial"/>
                <w:color w:val="222222"/>
                <w:lang w:val="mn-MN"/>
              </w:rPr>
              <w:t>Мөн Монголын ОҮИТБС нь Үндэсний аудитын газартай уул уурхайн салбарын өгөдлийн чанарыг сайжруулах, агентлаг хоорондын мэдээллийн нийцлийг хангах талаар хамтран ажиллаж байна.</w:t>
            </w:r>
          </w:p>
        </w:tc>
      </w:tr>
      <w:tr w:rsidR="00D77B1E" w:rsidRPr="00BF1A0C" w:rsidTr="00BF1A0C">
        <w:tc>
          <w:tcPr>
            <w:tcW w:w="7110" w:type="dxa"/>
          </w:tcPr>
          <w:p w:rsidR="00D77B1E" w:rsidRPr="00BF1A0C" w:rsidRDefault="00D77B1E" w:rsidP="00D77B1E">
            <w:pPr>
              <w:shd w:val="clear" w:color="auto" w:fill="FFFFFF"/>
              <w:rPr>
                <w:rFonts w:eastAsia="Times New Roman" w:cs="Arial"/>
                <w:b/>
                <w:bCs/>
              </w:rPr>
            </w:pPr>
            <w:r w:rsidRPr="00912D76">
              <w:rPr>
                <w:rFonts w:eastAsia="Times New Roman" w:cs="Arial"/>
              </w:rPr>
              <w:t>Activities to be supported include:</w:t>
            </w:r>
          </w:p>
        </w:tc>
        <w:tc>
          <w:tcPr>
            <w:tcW w:w="7290" w:type="dxa"/>
          </w:tcPr>
          <w:p w:rsidR="00D77B1E" w:rsidRPr="00D065DB" w:rsidRDefault="00D065DB" w:rsidP="00D77B1E">
            <w:pPr>
              <w:rPr>
                <w:rFonts w:eastAsia="Times New Roman" w:cs="Arial"/>
                <w:color w:val="222222"/>
                <w:lang w:val="mn-MN"/>
              </w:rPr>
            </w:pPr>
            <w:r>
              <w:rPr>
                <w:rFonts w:eastAsia="Times New Roman" w:cs="Arial"/>
                <w:color w:val="222222"/>
                <w:lang w:val="mn-MN"/>
              </w:rPr>
              <w:t>Хэрэгжүүлэх ажил</w:t>
            </w:r>
          </w:p>
        </w:tc>
      </w:tr>
      <w:tr w:rsidR="00D77B1E" w:rsidRPr="00BF1A0C" w:rsidTr="00BF1A0C">
        <w:tc>
          <w:tcPr>
            <w:tcW w:w="7110" w:type="dxa"/>
          </w:tcPr>
          <w:p w:rsidR="00D77B1E" w:rsidRPr="00BF1A0C" w:rsidRDefault="00D77B1E" w:rsidP="00D77B1E">
            <w:pPr>
              <w:shd w:val="clear" w:color="auto" w:fill="FFFFFF"/>
              <w:rPr>
                <w:rFonts w:eastAsia="Times New Roman" w:cs="Arial"/>
                <w:b/>
                <w:bCs/>
              </w:rPr>
            </w:pPr>
            <w:r w:rsidRPr="00912D76">
              <w:rPr>
                <w:rFonts w:eastAsia="Times New Roman" w:cs="Arial"/>
              </w:rPr>
              <w:t>Upgrading the existing E-Reporting System and integrating it with the E-Government system</w:t>
            </w:r>
          </w:p>
        </w:tc>
        <w:tc>
          <w:tcPr>
            <w:tcW w:w="7290" w:type="dxa"/>
          </w:tcPr>
          <w:p w:rsidR="00D77B1E" w:rsidRPr="00D065DB" w:rsidRDefault="00D065DB" w:rsidP="00D77B1E">
            <w:pPr>
              <w:rPr>
                <w:rFonts w:eastAsia="Times New Roman" w:cs="Arial"/>
                <w:color w:val="222222"/>
                <w:lang w:val="mn-MN"/>
              </w:rPr>
            </w:pPr>
            <w:r>
              <w:rPr>
                <w:rFonts w:eastAsia="Times New Roman" w:cs="Arial"/>
                <w:color w:val="222222"/>
                <w:lang w:val="mn-MN"/>
              </w:rPr>
              <w:t>ОҮИТБС-ын Цахим тайлагналын системийг сайжруулах, Засгийн газрын цахим системтэй нэгтгэх</w:t>
            </w:r>
          </w:p>
        </w:tc>
      </w:tr>
      <w:tr w:rsidR="00D77B1E" w:rsidRPr="00BF1A0C" w:rsidTr="00BF1A0C">
        <w:tc>
          <w:tcPr>
            <w:tcW w:w="7110" w:type="dxa"/>
          </w:tcPr>
          <w:p w:rsidR="00D77B1E" w:rsidRPr="00BF1A0C" w:rsidRDefault="00D77B1E" w:rsidP="00D77B1E">
            <w:pPr>
              <w:shd w:val="clear" w:color="auto" w:fill="FFFFFF"/>
              <w:rPr>
                <w:rFonts w:eastAsia="Times New Roman" w:cs="Arial"/>
                <w:b/>
                <w:bCs/>
              </w:rPr>
            </w:pPr>
            <w:r w:rsidRPr="00912D76">
              <w:rPr>
                <w:rFonts w:eastAsia="Times New Roman" w:cs="Arial"/>
              </w:rPr>
              <w:t>Operator and user trainings or workshops for the new systems</w:t>
            </w:r>
          </w:p>
        </w:tc>
        <w:tc>
          <w:tcPr>
            <w:tcW w:w="7290" w:type="dxa"/>
          </w:tcPr>
          <w:p w:rsidR="00D77B1E" w:rsidRPr="00D065DB" w:rsidRDefault="00D065DB" w:rsidP="00D77B1E">
            <w:pPr>
              <w:rPr>
                <w:rFonts w:eastAsia="Times New Roman" w:cs="Arial"/>
                <w:color w:val="222222"/>
                <w:lang w:val="mn-MN"/>
              </w:rPr>
            </w:pPr>
            <w:r>
              <w:rPr>
                <w:rFonts w:eastAsia="Times New Roman" w:cs="Arial"/>
                <w:color w:val="222222"/>
                <w:lang w:val="mn-MN"/>
              </w:rPr>
              <w:t>Шинэ системийг нэвтрүүлснээр оператор, ашиглагч нарыг сургах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Awareness workshop and seminar for staff of both central and local National Audit Offices</w:t>
            </w:r>
          </w:p>
        </w:tc>
        <w:tc>
          <w:tcPr>
            <w:tcW w:w="7290" w:type="dxa"/>
          </w:tcPr>
          <w:p w:rsidR="00D77B1E" w:rsidRPr="00D065DB" w:rsidRDefault="00D065DB" w:rsidP="00D77B1E">
            <w:pPr>
              <w:rPr>
                <w:rFonts w:eastAsia="Times New Roman" w:cs="Arial"/>
                <w:color w:val="222222"/>
                <w:lang w:val="mn-MN"/>
              </w:rPr>
            </w:pPr>
            <w:r>
              <w:rPr>
                <w:rFonts w:eastAsia="Times New Roman" w:cs="Arial"/>
                <w:color w:val="222222"/>
                <w:lang w:val="mn-MN"/>
              </w:rPr>
              <w:t>Үндэсний аудитын газрын төв, орон нутгийн ажилтнуудад мэдээлэл өгөх сургалтыг зохион байгуулах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b/>
                <w:bCs/>
              </w:rPr>
              <w:t>Activity 2.2. Improving contract disclosure</w:t>
            </w:r>
            <w:r w:rsidRPr="00912D76">
              <w:rPr>
                <w:rFonts w:eastAsia="Times New Roman" w:cs="Arial"/>
              </w:rPr>
              <w:t>.</w:t>
            </w:r>
          </w:p>
        </w:tc>
        <w:tc>
          <w:tcPr>
            <w:tcW w:w="7290" w:type="dxa"/>
          </w:tcPr>
          <w:p w:rsidR="00D77B1E" w:rsidRPr="00315F8E" w:rsidRDefault="00D065DB" w:rsidP="00D77B1E">
            <w:pPr>
              <w:rPr>
                <w:rFonts w:eastAsia="Times New Roman" w:cs="Arial"/>
                <w:b/>
                <w:color w:val="222222"/>
                <w:lang w:val="mn-MN"/>
              </w:rPr>
            </w:pPr>
            <w:r w:rsidRPr="00315F8E">
              <w:rPr>
                <w:rFonts w:eastAsia="Times New Roman" w:cs="Arial"/>
                <w:b/>
                <w:color w:val="222222"/>
                <w:lang w:val="mn-MN"/>
              </w:rPr>
              <w:t>Үйл ажиллагаа 2.2 Гэрээний ил тод байдлыг сайжруулах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lastRenderedPageBreak/>
              <w:t>To date contract disclosure has been on a voluntary basis and the custodian of the disclosure platform has been the Open Society Forum (OSF). By Decision No. 54 of the MEITI Working Group in March 2021 the Open Contract website, administered by Open Society Forum will be handed to MEITI Secretariat by July 1st, 2021. Under the 2019 EITI Standard contract disclosure is mandatory. The proposed Law on Transparency in the Mineral Resources Sector provides the legal basis for moving to mandatory disclosure. Gaps in disclosure have included sales or export contracts and tracking payments by importer.</w:t>
            </w:r>
          </w:p>
        </w:tc>
        <w:tc>
          <w:tcPr>
            <w:tcW w:w="7290" w:type="dxa"/>
          </w:tcPr>
          <w:p w:rsidR="00D77B1E" w:rsidRPr="00D065DB" w:rsidRDefault="00D065DB" w:rsidP="00D065DB">
            <w:pPr>
              <w:rPr>
                <w:rFonts w:eastAsia="Times New Roman" w:cs="Arial"/>
                <w:color w:val="222222"/>
                <w:lang w:val="mn-MN"/>
              </w:rPr>
            </w:pPr>
            <w:r>
              <w:rPr>
                <w:rFonts w:eastAsia="Times New Roman" w:cs="Arial"/>
                <w:color w:val="222222"/>
                <w:lang w:val="mn-MN"/>
              </w:rPr>
              <w:t>Өнөөг болтол Гэрээний ил тод байдал сайн дурын шинжтэй явж ирсэн бөгөөд Нээлттэй Нийгэм форум гэрээний ил тодын сайтыг хөгжүүлж, ажилд оруулсан. Монголын ОҮИТБС-ын Ажлын хэсгийн 2021 оны 3-р сарын 54-р хуралдаанаас энэ сайтыг ННФ-аас Ажлын албанд 2021 оны 7-р сарын 1-нд шилжүүлэхээр болсон. ОҮИТБС-ын 2019 оны стандартаар Гэрээг заавал ил тод болгох шаардлагыг баталсан.</w:t>
            </w:r>
            <w:r w:rsidR="00EF58BD">
              <w:rPr>
                <w:rFonts w:eastAsia="Times New Roman" w:cs="Arial"/>
                <w:color w:val="222222"/>
                <w:lang w:val="mn-MN"/>
              </w:rPr>
              <w:t>Эрдэс баялгийн салбарын ил тод байдлын тухай хуулийн төслөөр заавал ил болгох хууль эрх зүйн асуудлыг шийдвэрлэх юм. Одоогоор дутуу байгаа нь экспортын гэрээг ил болгох, төлбөр хийсэн эсхийг импортлогчоор хянах асуудал байна.</w:t>
            </w:r>
            <w:r>
              <w:rPr>
                <w:rFonts w:eastAsia="Times New Roman" w:cs="Arial"/>
                <w:color w:val="222222"/>
                <w:lang w:val="mn-MN"/>
              </w:rPr>
              <w:t xml:space="preserve">  </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Activities to be supported include:</w:t>
            </w:r>
          </w:p>
        </w:tc>
        <w:tc>
          <w:tcPr>
            <w:tcW w:w="7290" w:type="dxa"/>
          </w:tcPr>
          <w:p w:rsidR="00D77B1E" w:rsidRPr="00EF58BD" w:rsidRDefault="00EF58BD" w:rsidP="00D77B1E">
            <w:pPr>
              <w:rPr>
                <w:rFonts w:eastAsia="Times New Roman" w:cs="Arial"/>
                <w:color w:val="222222"/>
                <w:lang w:val="mn-MN"/>
              </w:rPr>
            </w:pPr>
            <w:r>
              <w:rPr>
                <w:rFonts w:eastAsia="Times New Roman" w:cs="Arial"/>
                <w:color w:val="222222"/>
                <w:lang w:val="mn-MN"/>
              </w:rPr>
              <w:t>Хэрэгжүүлэх ажил:</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Design an upgrade of the online contract disclosure platform in line with the proposed new Law on Transparency in the Mineral Resources Sector</w:t>
            </w:r>
          </w:p>
        </w:tc>
        <w:tc>
          <w:tcPr>
            <w:tcW w:w="7290" w:type="dxa"/>
          </w:tcPr>
          <w:p w:rsidR="00D77B1E" w:rsidRPr="00BF1A0C" w:rsidRDefault="00EF58BD" w:rsidP="00EF58BD">
            <w:pPr>
              <w:rPr>
                <w:rFonts w:eastAsia="Times New Roman" w:cs="Arial"/>
                <w:color w:val="222222"/>
              </w:rPr>
            </w:pPr>
            <w:r>
              <w:rPr>
                <w:rFonts w:eastAsia="Times New Roman" w:cs="Arial"/>
                <w:color w:val="222222"/>
                <w:lang w:val="mn-MN"/>
              </w:rPr>
              <w:t>Эрдэс баялгийн салбарын ил тод байдлын тухай хуулийн төслөөр санал болгосон заалтуудын дагуу Гэрээний ил тод байдлын сайтыг шинэ дизайнд оруулж, шинэчлэх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Capacity building for contract disclosure processes</w:t>
            </w:r>
          </w:p>
        </w:tc>
        <w:tc>
          <w:tcPr>
            <w:tcW w:w="7290" w:type="dxa"/>
          </w:tcPr>
          <w:p w:rsidR="00D77B1E" w:rsidRPr="00632E7C" w:rsidRDefault="00632E7C" w:rsidP="00D77B1E">
            <w:pPr>
              <w:rPr>
                <w:rFonts w:eastAsia="Times New Roman" w:cs="Arial"/>
                <w:color w:val="222222"/>
                <w:lang w:val="mn-MN"/>
              </w:rPr>
            </w:pPr>
            <w:r>
              <w:rPr>
                <w:rFonts w:eastAsia="Times New Roman" w:cs="Arial"/>
                <w:color w:val="222222"/>
                <w:lang w:val="mn-MN"/>
              </w:rPr>
              <w:t xml:space="preserve">Гэрээний ил тод байдлыг хэрэгжүүлэх чадавх нэмэгдүүлэх </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b/>
                <w:bCs/>
              </w:rPr>
              <w:t>Activity 2.3. Disclosures by state-owned entities in the sector.</w:t>
            </w:r>
          </w:p>
        </w:tc>
        <w:tc>
          <w:tcPr>
            <w:tcW w:w="7290" w:type="dxa"/>
          </w:tcPr>
          <w:p w:rsidR="00D77B1E" w:rsidRPr="00315F8E" w:rsidRDefault="00632E7C" w:rsidP="00D77B1E">
            <w:pPr>
              <w:rPr>
                <w:rFonts w:eastAsia="Times New Roman" w:cs="Arial"/>
                <w:b/>
                <w:color w:val="222222"/>
                <w:lang w:val="mn-MN"/>
              </w:rPr>
            </w:pPr>
            <w:r w:rsidRPr="00315F8E">
              <w:rPr>
                <w:rFonts w:eastAsia="Times New Roman" w:cs="Arial"/>
                <w:b/>
                <w:color w:val="222222"/>
                <w:lang w:val="mn-MN"/>
              </w:rPr>
              <w:t>Үйл ажиллагаа 2.3 Салбар дахь төрийн өмчийн аж ахуйн нэгжүүдийн ил тод байдлыг нэмэгдүүлэх</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The last Validation and past EITI Reports highlighted that disclosures by state owned entities in the extractives sector have been incomplete and quality assurance lacking, compared with their private sector counterparts and other State bodies. This can be improved with SOE staff capacity building on EITI disclosure requirements.</w:t>
            </w:r>
          </w:p>
        </w:tc>
        <w:tc>
          <w:tcPr>
            <w:tcW w:w="7290" w:type="dxa"/>
          </w:tcPr>
          <w:p w:rsidR="00D77B1E" w:rsidRPr="00BF1A0C" w:rsidRDefault="00632E7C" w:rsidP="009D55C9">
            <w:pPr>
              <w:rPr>
                <w:rFonts w:eastAsia="Times New Roman" w:cs="Arial"/>
                <w:color w:val="222222"/>
              </w:rPr>
            </w:pPr>
            <w:r>
              <w:rPr>
                <w:rFonts w:eastAsia="Times New Roman" w:cs="Arial"/>
                <w:color w:val="222222"/>
                <w:lang w:val="mn-MN"/>
              </w:rPr>
              <w:t>Сүүлчийн Баталгаажуулалт болон Монголын ОҮИТБС-ын сүүлийн тайлангуудаар олборлох салбарын төрийн өмчийн аж ахуйн нэгжүүдийн ил тод болгож байгаа нь хувийн сектор, төрийн байгууллагуудын ил тод болгож байгаатай харьцуулахад бүрэн биш, чанарын баталгаа</w:t>
            </w:r>
            <w:r w:rsidR="009D55C9">
              <w:rPr>
                <w:rFonts w:eastAsia="Times New Roman" w:cs="Arial"/>
                <w:color w:val="222222"/>
                <w:lang w:val="mn-MN"/>
              </w:rPr>
              <w:t xml:space="preserve"> нь дутмаг байна. Төрийн өмчийн аж ахуйн нэгжүүдийн ажилтнуудад ОҮИТБС-ын шаардлагын талаарх сургалт өгсөнөөр сайжруулж болно.</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Activities to be supported include:</w:t>
            </w:r>
          </w:p>
        </w:tc>
        <w:tc>
          <w:tcPr>
            <w:tcW w:w="7290" w:type="dxa"/>
          </w:tcPr>
          <w:p w:rsidR="00D77B1E" w:rsidRPr="009D55C9" w:rsidRDefault="009D55C9" w:rsidP="00D77B1E">
            <w:pPr>
              <w:rPr>
                <w:rFonts w:eastAsia="Times New Roman" w:cs="Arial"/>
                <w:color w:val="222222"/>
                <w:lang w:val="mn-MN"/>
              </w:rPr>
            </w:pPr>
            <w:r>
              <w:rPr>
                <w:rFonts w:eastAsia="Times New Roman" w:cs="Arial"/>
                <w:color w:val="222222"/>
                <w:lang w:val="mn-MN"/>
              </w:rPr>
              <w:t>Хэрэгжүүлэх ажил:</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Seminars and training to share knowledge among SOEs about information disclosures required under EITI and the new Law on Transparency in the Mineral Resources Sector</w:t>
            </w:r>
          </w:p>
        </w:tc>
        <w:tc>
          <w:tcPr>
            <w:tcW w:w="7290" w:type="dxa"/>
          </w:tcPr>
          <w:p w:rsidR="00D77B1E" w:rsidRPr="00BF1A0C" w:rsidRDefault="009D55C9" w:rsidP="009D55C9">
            <w:pPr>
              <w:rPr>
                <w:rFonts w:eastAsia="Times New Roman" w:cs="Arial"/>
                <w:color w:val="222222"/>
              </w:rPr>
            </w:pPr>
            <w:r>
              <w:rPr>
                <w:rFonts w:eastAsia="Times New Roman" w:cs="Arial"/>
                <w:color w:val="222222"/>
                <w:lang w:val="mn-MN"/>
              </w:rPr>
              <w:t>Төрийн өмчийн аж ахуйн нэгжүүдийг ОҮИТБС-ын шаардлага болон шинээр батлагдах Эрдэс балгийн салбарын ил тд байдлын тухай хуулийн заалтуудын дагуу мэдлэг олгох, хуваалцах сургалт, семинарууд</w:t>
            </w:r>
          </w:p>
        </w:tc>
      </w:tr>
      <w:tr w:rsidR="00D77B1E" w:rsidRPr="00BF1A0C" w:rsidTr="00BF1A0C">
        <w:tc>
          <w:tcPr>
            <w:tcW w:w="7110" w:type="dxa"/>
          </w:tcPr>
          <w:p w:rsidR="00D77B1E" w:rsidRPr="00BF1A0C" w:rsidRDefault="00D77B1E" w:rsidP="00D77B1E">
            <w:pPr>
              <w:shd w:val="clear" w:color="auto" w:fill="FFFFFF"/>
              <w:rPr>
                <w:rFonts w:eastAsia="Times New Roman" w:cs="Arial"/>
              </w:rPr>
            </w:pPr>
            <w:r w:rsidRPr="00912D76">
              <w:rPr>
                <w:rFonts w:eastAsia="Times New Roman" w:cs="Arial"/>
              </w:rPr>
              <w:t>Workshops for upper management and board members on SOEs disclosure obligations</w:t>
            </w:r>
          </w:p>
        </w:tc>
        <w:tc>
          <w:tcPr>
            <w:tcW w:w="7290" w:type="dxa"/>
          </w:tcPr>
          <w:p w:rsidR="00D77B1E" w:rsidRPr="009D55C9" w:rsidRDefault="009D55C9" w:rsidP="009D55C9">
            <w:pPr>
              <w:rPr>
                <w:rFonts w:eastAsia="Times New Roman" w:cs="Arial"/>
                <w:color w:val="222222"/>
                <w:lang w:val="mn-MN"/>
              </w:rPr>
            </w:pPr>
            <w:r>
              <w:rPr>
                <w:rFonts w:eastAsia="Times New Roman" w:cs="Arial"/>
                <w:color w:val="222222"/>
                <w:lang w:val="mn-MN"/>
              </w:rPr>
              <w:t xml:space="preserve">Төрийн өмчийн аж ахуйн нэгжүүдийн дээд шатны удирдлага, ТУЗ-ийн гишүүдэд ил тод байдлын шаардлагын талаар сургалт </w:t>
            </w:r>
          </w:p>
        </w:tc>
      </w:tr>
    </w:tbl>
    <w:p w:rsidR="00912D76" w:rsidRPr="00912D76" w:rsidRDefault="00912D76" w:rsidP="00912D76">
      <w:pPr>
        <w:shd w:val="clear" w:color="auto" w:fill="FFFFFF"/>
        <w:spacing w:after="0" w:line="240" w:lineRule="auto"/>
        <w:rPr>
          <w:rFonts w:eastAsia="Times New Roman" w:cs="Arial"/>
          <w:color w:val="222222"/>
        </w:rPr>
      </w:pPr>
    </w:p>
    <w:p w:rsidR="00912D76" w:rsidRPr="00912D76" w:rsidRDefault="00912D76" w:rsidP="00B52C5A">
      <w:pPr>
        <w:shd w:val="clear" w:color="auto" w:fill="FFFFFF"/>
        <w:spacing w:after="240" w:line="240" w:lineRule="auto"/>
        <w:ind w:left="1440"/>
        <w:rPr>
          <w:rFonts w:eastAsia="Times New Roman" w:cs="Arial"/>
        </w:rPr>
      </w:pPr>
    </w:p>
    <w:p w:rsidR="00912D76" w:rsidRPr="00912D76" w:rsidRDefault="00912D76" w:rsidP="00912D76">
      <w:pPr>
        <w:shd w:val="clear" w:color="auto" w:fill="FFFFFF"/>
        <w:spacing w:after="0" w:line="240" w:lineRule="auto"/>
        <w:rPr>
          <w:rFonts w:eastAsia="Times New Roman" w:cs="Arial"/>
          <w:color w:val="222222"/>
        </w:rPr>
      </w:pPr>
      <w:r w:rsidRPr="00912D76">
        <w:rPr>
          <w:rFonts w:eastAsia="Times New Roman" w:cs="Arial"/>
          <w:color w:val="222222"/>
        </w:rPr>
        <w:t> </w:t>
      </w:r>
    </w:p>
    <w:p w:rsidR="006555E7" w:rsidRPr="00BF1A0C" w:rsidRDefault="006555E7">
      <w:pPr>
        <w:rPr>
          <w:rFonts w:cs="Arial"/>
        </w:rPr>
      </w:pPr>
    </w:p>
    <w:p w:rsidR="00BF1A0C" w:rsidRPr="00BF1A0C" w:rsidRDefault="00BF1A0C">
      <w:pPr>
        <w:rPr>
          <w:rFonts w:cs="Arial"/>
        </w:rPr>
      </w:pPr>
    </w:p>
    <w:sectPr w:rsidR="00BF1A0C" w:rsidRPr="00BF1A0C" w:rsidSect="00BF1A0C">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96A"/>
    <w:multiLevelType w:val="multilevel"/>
    <w:tmpl w:val="79C0380A"/>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95116"/>
    <w:multiLevelType w:val="multilevel"/>
    <w:tmpl w:val="FCB659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125B1"/>
    <w:multiLevelType w:val="multilevel"/>
    <w:tmpl w:val="547457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37651"/>
    <w:multiLevelType w:val="multilevel"/>
    <w:tmpl w:val="A7BE92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A5E56"/>
    <w:multiLevelType w:val="multilevel"/>
    <w:tmpl w:val="ED00D1CE"/>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91C79"/>
    <w:multiLevelType w:val="multilevel"/>
    <w:tmpl w:val="06B2440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76E98"/>
    <w:multiLevelType w:val="multilevel"/>
    <w:tmpl w:val="206AF5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F0229"/>
    <w:multiLevelType w:val="multilevel"/>
    <w:tmpl w:val="209ED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6782B"/>
    <w:multiLevelType w:val="multilevel"/>
    <w:tmpl w:val="CC8A63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A1020"/>
    <w:multiLevelType w:val="multilevel"/>
    <w:tmpl w:val="8BC6A7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B4632"/>
    <w:multiLevelType w:val="multilevel"/>
    <w:tmpl w:val="503094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06639"/>
    <w:multiLevelType w:val="multilevel"/>
    <w:tmpl w:val="BDE456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8440DA"/>
    <w:multiLevelType w:val="multilevel"/>
    <w:tmpl w:val="570E281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06937"/>
    <w:multiLevelType w:val="multilevel"/>
    <w:tmpl w:val="875C35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16248F"/>
    <w:multiLevelType w:val="multilevel"/>
    <w:tmpl w:val="8F32F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93FC4"/>
    <w:multiLevelType w:val="multilevel"/>
    <w:tmpl w:val="0A165D74"/>
    <w:lvl w:ilvl="0">
      <w:start w:val="1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4D30F9"/>
    <w:multiLevelType w:val="multilevel"/>
    <w:tmpl w:val="145690B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2C0C65"/>
    <w:multiLevelType w:val="multilevel"/>
    <w:tmpl w:val="80A80E48"/>
    <w:lvl w:ilvl="0">
      <w:start w:val="2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83023"/>
    <w:multiLevelType w:val="multilevel"/>
    <w:tmpl w:val="F1A4E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84544"/>
    <w:multiLevelType w:val="multilevel"/>
    <w:tmpl w:val="79C0380A"/>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C913EC"/>
    <w:multiLevelType w:val="multilevel"/>
    <w:tmpl w:val="ED00D1CE"/>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50097"/>
    <w:multiLevelType w:val="multilevel"/>
    <w:tmpl w:val="9D822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8321BC"/>
    <w:multiLevelType w:val="multilevel"/>
    <w:tmpl w:val="B05C708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395445"/>
    <w:multiLevelType w:val="multilevel"/>
    <w:tmpl w:val="60ECB6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5696FD0"/>
    <w:multiLevelType w:val="multilevel"/>
    <w:tmpl w:val="84AC1B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3A51D2"/>
    <w:multiLevelType w:val="multilevel"/>
    <w:tmpl w:val="72662824"/>
    <w:lvl w:ilvl="0">
      <w:start w:val="2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4F00AF"/>
    <w:multiLevelType w:val="multilevel"/>
    <w:tmpl w:val="80A80E48"/>
    <w:lvl w:ilvl="0">
      <w:start w:val="2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E31C7"/>
    <w:multiLevelType w:val="multilevel"/>
    <w:tmpl w:val="B50049DC"/>
    <w:lvl w:ilvl="0">
      <w:start w:val="2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6233F0"/>
    <w:multiLevelType w:val="multilevel"/>
    <w:tmpl w:val="983495A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52292"/>
    <w:multiLevelType w:val="multilevel"/>
    <w:tmpl w:val="0426A2A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A23376"/>
    <w:multiLevelType w:val="multilevel"/>
    <w:tmpl w:val="0A165D74"/>
    <w:lvl w:ilvl="0">
      <w:start w:val="1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8"/>
  </w:num>
  <w:num w:numId="3">
    <w:abstractNumId w:val="21"/>
  </w:num>
  <w:num w:numId="4">
    <w:abstractNumId w:val="7"/>
  </w:num>
  <w:num w:numId="5">
    <w:abstractNumId w:val="29"/>
  </w:num>
  <w:num w:numId="6">
    <w:abstractNumId w:val="22"/>
  </w:num>
  <w:num w:numId="7">
    <w:abstractNumId w:val="10"/>
  </w:num>
  <w:num w:numId="8">
    <w:abstractNumId w:val="1"/>
  </w:num>
  <w:num w:numId="9">
    <w:abstractNumId w:val="0"/>
  </w:num>
  <w:num w:numId="10">
    <w:abstractNumId w:val="6"/>
  </w:num>
  <w:num w:numId="11">
    <w:abstractNumId w:val="8"/>
  </w:num>
  <w:num w:numId="12">
    <w:abstractNumId w:val="20"/>
  </w:num>
  <w:num w:numId="13">
    <w:abstractNumId w:val="14"/>
  </w:num>
  <w:num w:numId="14">
    <w:abstractNumId w:val="2"/>
  </w:num>
  <w:num w:numId="15">
    <w:abstractNumId w:val="13"/>
  </w:num>
  <w:num w:numId="16">
    <w:abstractNumId w:val="15"/>
  </w:num>
  <w:num w:numId="17">
    <w:abstractNumId w:val="24"/>
  </w:num>
  <w:num w:numId="18">
    <w:abstractNumId w:val="9"/>
  </w:num>
  <w:num w:numId="19">
    <w:abstractNumId w:val="11"/>
  </w:num>
  <w:num w:numId="20">
    <w:abstractNumId w:val="12"/>
  </w:num>
  <w:num w:numId="21">
    <w:abstractNumId w:val="17"/>
  </w:num>
  <w:num w:numId="22">
    <w:abstractNumId w:val="3"/>
  </w:num>
  <w:num w:numId="23">
    <w:abstractNumId w:val="5"/>
  </w:num>
  <w:num w:numId="24">
    <w:abstractNumId w:val="25"/>
  </w:num>
  <w:num w:numId="25">
    <w:abstractNumId w:val="16"/>
  </w:num>
  <w:num w:numId="26">
    <w:abstractNumId w:val="28"/>
  </w:num>
  <w:num w:numId="27">
    <w:abstractNumId w:val="27"/>
  </w:num>
  <w:num w:numId="28">
    <w:abstractNumId w:val="19"/>
  </w:num>
  <w:num w:numId="29">
    <w:abstractNumId w:val="4"/>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76"/>
    <w:rsid w:val="001247A1"/>
    <w:rsid w:val="00315F8E"/>
    <w:rsid w:val="003A6C0C"/>
    <w:rsid w:val="003F4846"/>
    <w:rsid w:val="004C0617"/>
    <w:rsid w:val="00632E7C"/>
    <w:rsid w:val="006555E7"/>
    <w:rsid w:val="00912D76"/>
    <w:rsid w:val="009D55C9"/>
    <w:rsid w:val="00B52C5A"/>
    <w:rsid w:val="00BF1A0C"/>
    <w:rsid w:val="00C01ABC"/>
    <w:rsid w:val="00C83CEE"/>
    <w:rsid w:val="00CE603C"/>
    <w:rsid w:val="00D065DB"/>
    <w:rsid w:val="00D77B1E"/>
    <w:rsid w:val="00EF58BD"/>
    <w:rsid w:val="00F47ADE"/>
    <w:rsid w:val="00FA616C"/>
    <w:rsid w:val="00FD564D"/>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FA6E7-4ECA-42D7-A1AE-35B403DC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121">
      <w:bodyDiv w:val="1"/>
      <w:marLeft w:val="0"/>
      <w:marRight w:val="0"/>
      <w:marTop w:val="0"/>
      <w:marBottom w:val="0"/>
      <w:divBdr>
        <w:top w:val="none" w:sz="0" w:space="0" w:color="auto"/>
        <w:left w:val="none" w:sz="0" w:space="0" w:color="auto"/>
        <w:bottom w:val="none" w:sz="0" w:space="0" w:color="auto"/>
        <w:right w:val="none" w:sz="0" w:space="0" w:color="auto"/>
      </w:divBdr>
    </w:div>
    <w:div w:id="5811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Tsolmon</dc:creator>
  <cp:keywords/>
  <dc:description/>
  <cp:lastModifiedBy>Tsolmon</cp:lastModifiedBy>
  <cp:revision>2</cp:revision>
  <dcterms:created xsi:type="dcterms:W3CDTF">2021-11-29T03:13:00Z</dcterms:created>
  <dcterms:modified xsi:type="dcterms:W3CDTF">2021-11-29T03:13:00Z</dcterms:modified>
</cp:coreProperties>
</file>